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FC914B">
      <w:pPr>
        <w:spacing w:line="360" w:lineRule="auto"/>
        <w:jc w:val="center"/>
        <w:rPr>
          <w:rFonts w:hint="eastAsia" w:ascii="方正小标宋简体" w:hAnsi="方正小标宋简体" w:eastAsia="方正小标宋简体" w:cs="方正小标宋简体"/>
          <w:b/>
          <w:bCs/>
          <w:sz w:val="36"/>
          <w:szCs w:val="44"/>
        </w:rPr>
      </w:pPr>
      <w:bookmarkStart w:id="0" w:name="_GoBack"/>
      <w:bookmarkEnd w:id="0"/>
      <w:r>
        <w:rPr>
          <w:rFonts w:hint="eastAsia" w:ascii="方正小标宋简体" w:hAnsi="方正小标宋简体" w:eastAsia="方正小标宋简体" w:cs="方正小标宋简体"/>
          <w:b/>
          <w:bCs/>
          <w:sz w:val="36"/>
          <w:szCs w:val="44"/>
          <w:lang w:val="en-US" w:eastAsia="zh-CN"/>
        </w:rPr>
        <w:t>上海戏剧学院</w:t>
      </w:r>
      <w:r>
        <w:rPr>
          <w:rFonts w:hint="eastAsia" w:ascii="方正小标宋简体" w:hAnsi="方正小标宋简体" w:eastAsia="方正小标宋简体" w:cs="方正小标宋简体"/>
          <w:b/>
          <w:bCs/>
          <w:sz w:val="36"/>
          <w:szCs w:val="44"/>
        </w:rPr>
        <w:t>202</w:t>
      </w:r>
      <w:r>
        <w:rPr>
          <w:rFonts w:hint="eastAsia" w:ascii="方正小标宋简体" w:hAnsi="方正小标宋简体" w:eastAsia="方正小标宋简体" w:cs="方正小标宋简体"/>
          <w:b/>
          <w:bCs/>
          <w:sz w:val="36"/>
          <w:szCs w:val="44"/>
          <w:lang w:val="en-US" w:eastAsia="zh-CN"/>
        </w:rPr>
        <w:t>6</w:t>
      </w:r>
      <w:r>
        <w:rPr>
          <w:rFonts w:hint="eastAsia" w:ascii="方正小标宋简体" w:hAnsi="方正小标宋简体" w:eastAsia="方正小标宋简体" w:cs="方正小标宋简体"/>
          <w:b/>
          <w:bCs/>
          <w:sz w:val="36"/>
          <w:szCs w:val="44"/>
        </w:rPr>
        <w:t>年博士研究生国家奖学金</w:t>
      </w:r>
    </w:p>
    <w:p w14:paraId="363D85FD">
      <w:pPr>
        <w:spacing w:line="360" w:lineRule="auto"/>
        <w:jc w:val="center"/>
        <w:rPr>
          <w:rFonts w:hint="eastAsia" w:ascii="方正小标宋简体" w:hAnsi="方正小标宋简体" w:eastAsia="方正小标宋简体" w:cs="方正小标宋简体"/>
          <w:b/>
          <w:bCs/>
          <w:sz w:val="36"/>
          <w:szCs w:val="44"/>
        </w:rPr>
      </w:pPr>
      <w:r>
        <w:rPr>
          <w:rFonts w:hint="eastAsia" w:ascii="方正小标宋简体" w:hAnsi="方正小标宋简体" w:eastAsia="方正小标宋简体" w:cs="方正小标宋简体"/>
          <w:b/>
          <w:bCs/>
          <w:sz w:val="36"/>
          <w:szCs w:val="44"/>
        </w:rPr>
        <w:t>名额分配方案</w:t>
      </w:r>
    </w:p>
    <w:p w14:paraId="2C69DF70">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firstLine="480"/>
        <w:jc w:val="both"/>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 xml:space="preserve"> </w:t>
      </w:r>
    </w:p>
    <w:p w14:paraId="3DEE116D">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firstLine="480"/>
        <w:jc w:val="both"/>
        <w:textAlignment w:val="auto"/>
        <w:rPr>
          <w:rFonts w:hint="eastAsia" w:ascii="仿宋_GB2312" w:hAnsi="仿宋_GB2312" w:eastAsia="仿宋_GB2312" w:cs="仿宋_GB2312"/>
          <w:b w:val="0"/>
          <w:bCs w:val="0"/>
          <w:spacing w:val="0"/>
          <w:w w:val="100"/>
          <w:sz w:val="28"/>
          <w:szCs w:val="28"/>
          <w:lang w:eastAsia="zh-CN"/>
        </w:rPr>
      </w:pPr>
      <w:r>
        <w:rPr>
          <w:rFonts w:hint="eastAsia" w:ascii="仿宋_GB2312" w:hAnsi="仿宋_GB2312" w:eastAsia="仿宋_GB2312" w:cs="仿宋_GB2312"/>
          <w:b w:val="0"/>
          <w:bCs w:val="0"/>
          <w:color w:val="000000" w:themeColor="text1"/>
          <w:spacing w:val="0"/>
          <w:w w:val="100"/>
          <w:sz w:val="28"/>
          <w:szCs w:val="28"/>
          <w14:textFill>
            <w14:solidFill>
              <w14:schemeClr w14:val="tx1"/>
            </w14:solidFill>
          </w14:textFill>
        </w:rPr>
        <w:t>根据</w:t>
      </w:r>
      <w:r>
        <w:rPr>
          <w:rFonts w:hint="eastAsia" w:ascii="仿宋_GB2312" w:hAnsi="仿宋_GB2312" w:eastAsia="仿宋_GB2312" w:cs="仿宋_GB2312"/>
          <w:b w:val="0"/>
          <w:bCs w:val="0"/>
          <w:spacing w:val="0"/>
          <w:w w:val="100"/>
          <w:sz w:val="28"/>
          <w:szCs w:val="28"/>
        </w:rPr>
        <w:t>《财政部教育部人力资源社会保障部关于下达2026年学生资助补助经费预算的通知》</w:t>
      </w:r>
      <w:r>
        <w:rPr>
          <w:rFonts w:hint="eastAsia" w:ascii="仿宋_GB2312" w:hAnsi="仿宋_GB2312" w:eastAsia="仿宋_GB2312" w:cs="仿宋_GB2312"/>
          <w:b w:val="0"/>
          <w:bCs w:val="0"/>
          <w:spacing w:val="0"/>
          <w:w w:val="100"/>
          <w:sz w:val="28"/>
          <w:szCs w:val="28"/>
          <w:lang w:eastAsia="zh-CN"/>
        </w:rPr>
        <w:t>（</w:t>
      </w:r>
      <w:r>
        <w:rPr>
          <w:rFonts w:hint="eastAsia" w:ascii="仿宋_GB2312" w:hAnsi="仿宋_GB2312" w:eastAsia="仿宋_GB2312" w:cs="仿宋_GB2312"/>
          <w:b w:val="0"/>
          <w:bCs w:val="0"/>
          <w:spacing w:val="0"/>
          <w:w w:val="100"/>
          <w:sz w:val="28"/>
          <w:szCs w:val="28"/>
        </w:rPr>
        <w:t>财教〔2026〕62号</w:t>
      </w:r>
      <w:r>
        <w:rPr>
          <w:rFonts w:hint="eastAsia" w:ascii="仿宋_GB2312" w:hAnsi="仿宋_GB2312" w:eastAsia="仿宋_GB2312" w:cs="仿宋_GB2312"/>
          <w:b w:val="0"/>
          <w:bCs w:val="0"/>
          <w:spacing w:val="0"/>
          <w:w w:val="100"/>
          <w:sz w:val="28"/>
          <w:szCs w:val="28"/>
          <w:lang w:eastAsia="zh-CN"/>
        </w:rPr>
        <w:t>）</w:t>
      </w:r>
      <w:r>
        <w:rPr>
          <w:rFonts w:hint="eastAsia" w:ascii="仿宋_GB2312" w:hAnsi="仿宋_GB2312" w:eastAsia="仿宋_GB2312" w:cs="仿宋_GB2312"/>
          <w:b w:val="0"/>
          <w:bCs w:val="0"/>
          <w:color w:val="000000" w:themeColor="text1"/>
          <w:spacing w:val="0"/>
          <w:w w:val="100"/>
          <w:sz w:val="28"/>
          <w:szCs w:val="28"/>
          <w:lang w:val="en-US" w:eastAsia="zh-CN"/>
          <w14:textFill>
            <w14:solidFill>
              <w14:schemeClr w14:val="tx1"/>
            </w14:solidFill>
          </w14:textFill>
        </w:rPr>
        <w:t>及上海市学生事务中心通知文件</w:t>
      </w:r>
      <w:r>
        <w:rPr>
          <w:rFonts w:hint="eastAsia" w:ascii="仿宋_GB2312" w:hAnsi="仿宋_GB2312" w:eastAsia="仿宋_GB2312" w:cs="仿宋_GB2312"/>
          <w:b w:val="0"/>
          <w:bCs w:val="0"/>
          <w:color w:val="000000" w:themeColor="text1"/>
          <w:spacing w:val="0"/>
          <w:w w:val="100"/>
          <w:sz w:val="28"/>
          <w:szCs w:val="28"/>
          <w14:textFill>
            <w14:solidFill>
              <w14:schemeClr w14:val="tx1"/>
            </w14:solidFill>
          </w14:textFill>
        </w:rPr>
        <w:t>，我校</w:t>
      </w:r>
      <w:r>
        <w:rPr>
          <w:rFonts w:hint="eastAsia" w:ascii="仿宋_GB2312" w:hAnsi="仿宋_GB2312" w:eastAsia="仿宋_GB2312" w:cs="仿宋_GB2312"/>
          <w:b w:val="0"/>
          <w:bCs w:val="0"/>
          <w:color w:val="000000" w:themeColor="text1"/>
          <w:spacing w:val="0"/>
          <w:w w:val="100"/>
          <w:sz w:val="28"/>
          <w:szCs w:val="28"/>
          <w:lang w:val="en-US" w:eastAsia="zh-CN"/>
          <w14:textFill>
            <w14:solidFill>
              <w14:schemeClr w14:val="tx1"/>
            </w14:solidFill>
          </w14:textFill>
        </w:rPr>
        <w:t>2026年度博士</w:t>
      </w:r>
      <w:r>
        <w:rPr>
          <w:rFonts w:hint="eastAsia" w:ascii="仿宋_GB2312" w:hAnsi="仿宋_GB2312" w:eastAsia="仿宋_GB2312" w:cs="仿宋_GB2312"/>
          <w:b w:val="0"/>
          <w:bCs w:val="0"/>
          <w:color w:val="000000" w:themeColor="text1"/>
          <w:spacing w:val="0"/>
          <w:w w:val="100"/>
          <w:sz w:val="28"/>
          <w:szCs w:val="28"/>
          <w14:textFill>
            <w14:solidFill>
              <w14:schemeClr w14:val="tx1"/>
            </w14:solidFill>
          </w14:textFill>
        </w:rPr>
        <w:t>研究生国家奖学金名额为</w:t>
      </w:r>
      <w:r>
        <w:rPr>
          <w:rFonts w:hint="eastAsia" w:ascii="仿宋_GB2312" w:hAnsi="仿宋_GB2312" w:eastAsia="仿宋_GB2312" w:cs="仿宋_GB2312"/>
          <w:b w:val="0"/>
          <w:bCs w:val="0"/>
          <w:color w:val="000000" w:themeColor="text1"/>
          <w:spacing w:val="0"/>
          <w:w w:val="100"/>
          <w:sz w:val="28"/>
          <w:szCs w:val="28"/>
          <w:lang w:val="en-US" w:eastAsia="zh-CN"/>
          <w14:textFill>
            <w14:solidFill>
              <w14:schemeClr w14:val="tx1"/>
            </w14:solidFill>
          </w14:textFill>
        </w:rPr>
        <w:t>8</w:t>
      </w:r>
      <w:r>
        <w:rPr>
          <w:rFonts w:hint="eastAsia" w:ascii="仿宋_GB2312" w:hAnsi="仿宋_GB2312" w:eastAsia="仿宋_GB2312" w:cs="仿宋_GB2312"/>
          <w:b w:val="0"/>
          <w:bCs w:val="0"/>
          <w:color w:val="000000" w:themeColor="text1"/>
          <w:spacing w:val="0"/>
          <w:w w:val="100"/>
          <w:sz w:val="28"/>
          <w:szCs w:val="28"/>
          <w14:textFill>
            <w14:solidFill>
              <w14:schemeClr w14:val="tx1"/>
            </w14:solidFill>
          </w14:textFill>
        </w:rPr>
        <w:t>名，学校研究生国家奖学金评审领导小组根据各院系具有参评资格的研究生人数</w:t>
      </w:r>
      <w:r>
        <w:rPr>
          <w:rFonts w:hint="eastAsia" w:ascii="仿宋_GB2312" w:hAnsi="仿宋_GB2312" w:eastAsia="仿宋_GB2312" w:cs="仿宋_GB2312"/>
          <w:b w:val="0"/>
          <w:bCs w:val="0"/>
          <w:color w:val="000000" w:themeColor="text1"/>
          <w:spacing w:val="0"/>
          <w:w w:val="100"/>
          <w:sz w:val="28"/>
          <w:szCs w:val="28"/>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pacing w:val="0"/>
          <w:w w:val="100"/>
          <w:sz w:val="28"/>
          <w:szCs w:val="28"/>
          <w14:textFill>
            <w14:solidFill>
              <w14:schemeClr w14:val="tx1"/>
            </w14:solidFill>
          </w14:textFill>
        </w:rPr>
        <w:t>并结合具体情况，</w:t>
      </w:r>
      <w:r>
        <w:rPr>
          <w:rFonts w:hint="eastAsia" w:ascii="仿宋_GB2312" w:hAnsi="仿宋_GB2312" w:eastAsia="仿宋_GB2312" w:cs="仿宋_GB2312"/>
          <w:b w:val="0"/>
          <w:bCs w:val="0"/>
          <w:color w:val="000000" w:themeColor="text1"/>
          <w:spacing w:val="0"/>
          <w:w w:val="100"/>
          <w:sz w:val="28"/>
          <w:szCs w:val="28"/>
          <w:lang w:val="en-US" w:eastAsia="zh-CN"/>
          <w14:textFill>
            <w14:solidFill>
              <w14:schemeClr w14:val="tx1"/>
            </w14:solidFill>
          </w14:textFill>
        </w:rPr>
        <w:t>确定</w:t>
      </w:r>
      <w:r>
        <w:rPr>
          <w:rFonts w:hint="eastAsia" w:ascii="仿宋_GB2312" w:hAnsi="仿宋_GB2312" w:eastAsia="仿宋_GB2312" w:cs="仿宋_GB2312"/>
          <w:b w:val="0"/>
          <w:bCs w:val="0"/>
          <w:color w:val="000000" w:themeColor="text1"/>
          <w:spacing w:val="0"/>
          <w:w w:val="100"/>
          <w:sz w:val="28"/>
          <w:szCs w:val="28"/>
          <w14:textFill>
            <w14:solidFill>
              <w14:schemeClr w14:val="tx1"/>
            </w14:solidFill>
          </w14:textFill>
        </w:rPr>
        <w:t>名额分配方案</w:t>
      </w:r>
      <w:r>
        <w:rPr>
          <w:rFonts w:hint="eastAsia" w:ascii="仿宋_GB2312" w:hAnsi="仿宋_GB2312" w:eastAsia="仿宋_GB2312" w:cs="仿宋_GB2312"/>
          <w:b w:val="0"/>
          <w:bCs w:val="0"/>
          <w:color w:val="000000" w:themeColor="text1"/>
          <w:spacing w:val="0"/>
          <w:w w:val="100"/>
          <w:sz w:val="28"/>
          <w:szCs w:val="28"/>
          <w:lang w:eastAsia="zh-CN"/>
          <w14:textFill>
            <w14:solidFill>
              <w14:schemeClr w14:val="tx1"/>
            </w14:solidFill>
          </w14:textFill>
        </w:rPr>
        <w:t>。</w:t>
      </w:r>
    </w:p>
    <w:tbl>
      <w:tblPr>
        <w:tblStyle w:val="4"/>
        <w:tblW w:w="82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7"/>
        <w:gridCol w:w="2038"/>
        <w:gridCol w:w="2387"/>
        <w:gridCol w:w="1235"/>
      </w:tblGrid>
      <w:tr w14:paraId="2DB35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2577" w:type="dxa"/>
            <w:shd w:val="clear" w:color="auto" w:fill="auto"/>
            <w:noWrap/>
            <w:vAlign w:val="center"/>
          </w:tcPr>
          <w:p w14:paraId="57BFF9EC">
            <w:pPr>
              <w:jc w:val="center"/>
              <w:rPr>
                <w:rFonts w:ascii="仿宋" w:hAnsi="仿宋" w:eastAsia="仿宋"/>
                <w:b/>
                <w:bCs/>
                <w:color w:val="000000"/>
                <w:sz w:val="21"/>
                <w:szCs w:val="21"/>
              </w:rPr>
            </w:pPr>
            <w:r>
              <w:rPr>
                <w:rFonts w:hint="eastAsia" w:ascii="仿宋" w:hAnsi="仿宋" w:eastAsia="仿宋"/>
                <w:b/>
                <w:bCs/>
                <w:color w:val="000000"/>
                <w:sz w:val="21"/>
                <w:szCs w:val="21"/>
              </w:rPr>
              <w:t>院系</w:t>
            </w:r>
          </w:p>
        </w:tc>
        <w:tc>
          <w:tcPr>
            <w:tcW w:w="2038" w:type="dxa"/>
            <w:shd w:val="clear" w:color="auto" w:fill="auto"/>
            <w:noWrap/>
            <w:vAlign w:val="center"/>
          </w:tcPr>
          <w:p w14:paraId="496DC766">
            <w:pPr>
              <w:jc w:val="center"/>
              <w:rPr>
                <w:rFonts w:ascii="仿宋" w:hAnsi="仿宋" w:eastAsia="仿宋"/>
                <w:b/>
                <w:bCs/>
                <w:color w:val="000000"/>
                <w:sz w:val="21"/>
                <w:szCs w:val="21"/>
              </w:rPr>
            </w:pPr>
            <w:r>
              <w:rPr>
                <w:rFonts w:hint="eastAsia" w:ascii="仿宋" w:hAnsi="仿宋" w:eastAsia="仿宋"/>
                <w:b/>
                <w:bCs/>
                <w:color w:val="000000"/>
                <w:sz w:val="21"/>
                <w:szCs w:val="21"/>
              </w:rPr>
              <w:t>院系评选产生名额</w:t>
            </w:r>
          </w:p>
        </w:tc>
        <w:tc>
          <w:tcPr>
            <w:tcW w:w="2387" w:type="dxa"/>
            <w:vAlign w:val="center"/>
          </w:tcPr>
          <w:p w14:paraId="53424B4B">
            <w:pPr>
              <w:jc w:val="center"/>
              <w:rPr>
                <w:rFonts w:ascii="仿宋" w:hAnsi="仿宋" w:eastAsia="仿宋"/>
                <w:b/>
                <w:bCs/>
                <w:color w:val="000000"/>
                <w:sz w:val="21"/>
                <w:szCs w:val="21"/>
              </w:rPr>
            </w:pPr>
            <w:r>
              <w:rPr>
                <w:rFonts w:hint="eastAsia" w:ascii="仿宋" w:hAnsi="仿宋" w:eastAsia="仿宋"/>
                <w:b/>
                <w:bCs/>
                <w:color w:val="000000"/>
                <w:sz w:val="21"/>
                <w:szCs w:val="21"/>
              </w:rPr>
              <w:t>参与校级</w:t>
            </w:r>
            <w:r>
              <w:rPr>
                <w:rFonts w:hint="eastAsia" w:ascii="仿宋" w:hAnsi="仿宋" w:eastAsia="仿宋"/>
                <w:b/>
                <w:bCs/>
                <w:color w:val="000000"/>
                <w:sz w:val="21"/>
                <w:szCs w:val="21"/>
                <w:lang w:val="en-US" w:eastAsia="zh-CN"/>
              </w:rPr>
              <w:t>差额</w:t>
            </w:r>
            <w:r>
              <w:rPr>
                <w:rFonts w:hint="eastAsia" w:ascii="仿宋" w:hAnsi="仿宋" w:eastAsia="仿宋"/>
                <w:b/>
                <w:bCs/>
                <w:color w:val="000000"/>
                <w:sz w:val="21"/>
                <w:szCs w:val="21"/>
              </w:rPr>
              <w:t>评审名额</w:t>
            </w:r>
          </w:p>
        </w:tc>
        <w:tc>
          <w:tcPr>
            <w:tcW w:w="1235" w:type="dxa"/>
            <w:vAlign w:val="center"/>
          </w:tcPr>
          <w:p w14:paraId="30908D41">
            <w:pPr>
              <w:jc w:val="center"/>
              <w:rPr>
                <w:rFonts w:hint="eastAsia" w:ascii="仿宋" w:hAnsi="仿宋" w:eastAsia="仿宋"/>
                <w:b/>
                <w:bCs/>
                <w:color w:val="000000"/>
                <w:sz w:val="21"/>
                <w:szCs w:val="21"/>
              </w:rPr>
            </w:pPr>
            <w:r>
              <w:rPr>
                <w:rFonts w:hint="eastAsia" w:ascii="仿宋" w:hAnsi="仿宋" w:eastAsia="仿宋"/>
                <w:b/>
                <w:bCs/>
                <w:color w:val="000000"/>
                <w:sz w:val="21"/>
                <w:szCs w:val="21"/>
              </w:rPr>
              <w:t>校级评审</w:t>
            </w:r>
          </w:p>
          <w:p w14:paraId="4664433C">
            <w:pPr>
              <w:jc w:val="center"/>
              <w:rPr>
                <w:rFonts w:ascii="仿宋" w:hAnsi="仿宋" w:eastAsia="仿宋"/>
                <w:b/>
                <w:bCs/>
                <w:color w:val="000000"/>
                <w:sz w:val="21"/>
                <w:szCs w:val="21"/>
              </w:rPr>
            </w:pPr>
            <w:r>
              <w:rPr>
                <w:rFonts w:hint="eastAsia" w:ascii="仿宋" w:hAnsi="仿宋" w:eastAsia="仿宋"/>
                <w:b/>
                <w:bCs/>
                <w:color w:val="000000"/>
                <w:sz w:val="21"/>
                <w:szCs w:val="21"/>
                <w:lang w:val="en-US" w:eastAsia="zh-CN"/>
              </w:rPr>
              <w:t>产生</w:t>
            </w:r>
            <w:r>
              <w:rPr>
                <w:rFonts w:hint="eastAsia" w:ascii="仿宋" w:hAnsi="仿宋" w:eastAsia="仿宋"/>
                <w:b/>
                <w:bCs/>
                <w:color w:val="000000"/>
                <w:sz w:val="21"/>
                <w:szCs w:val="21"/>
              </w:rPr>
              <w:t>名额</w:t>
            </w:r>
          </w:p>
        </w:tc>
      </w:tr>
      <w:tr w14:paraId="2571F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2577" w:type="dxa"/>
            <w:shd w:val="clear" w:color="auto" w:fill="auto"/>
            <w:vAlign w:val="center"/>
          </w:tcPr>
          <w:p w14:paraId="292BFABF">
            <w:pPr>
              <w:jc w:val="center"/>
              <w:rPr>
                <w:rFonts w:hint="eastAsia" w:ascii="仿宋" w:hAnsi="仿宋" w:eastAsia="仿宋" w:cs="仿宋"/>
                <w:color w:val="000000"/>
                <w:sz w:val="21"/>
                <w:szCs w:val="21"/>
              </w:rPr>
            </w:pPr>
            <w:r>
              <w:rPr>
                <w:rFonts w:hint="eastAsia" w:ascii="仿宋" w:hAnsi="仿宋" w:eastAsia="仿宋" w:cs="仿宋"/>
                <w:b/>
                <w:bCs/>
                <w:i w:val="0"/>
                <w:iCs w:val="0"/>
                <w:color w:val="000000"/>
                <w:kern w:val="0"/>
                <w:sz w:val="21"/>
                <w:szCs w:val="21"/>
                <w:u w:val="none"/>
                <w:lang w:val="en-US" w:eastAsia="zh-CN" w:bidi="ar"/>
              </w:rPr>
              <w:t>表演系（含音乐剧中心）</w:t>
            </w:r>
          </w:p>
        </w:tc>
        <w:tc>
          <w:tcPr>
            <w:tcW w:w="2038" w:type="dxa"/>
            <w:vMerge w:val="restart"/>
            <w:shd w:val="clear" w:color="auto" w:fill="auto"/>
            <w:noWrap/>
            <w:vAlign w:val="center"/>
          </w:tcPr>
          <w:p w14:paraId="67609EFA">
            <w:pPr>
              <w:jc w:val="center"/>
              <w:rPr>
                <w:rFonts w:hint="eastAsia" w:ascii="仿宋" w:hAnsi="仿宋" w:eastAsia="仿宋" w:cs="仿宋"/>
                <w:color w:val="000000"/>
                <w:sz w:val="21"/>
                <w:szCs w:val="21"/>
                <w:lang w:eastAsia="zh-CN"/>
              </w:rPr>
            </w:pPr>
            <w:r>
              <w:rPr>
                <w:rFonts w:hint="eastAsia" w:ascii="仿宋" w:hAnsi="仿宋" w:eastAsia="仿宋" w:cs="仿宋"/>
                <w:sz w:val="21"/>
                <w:szCs w:val="21"/>
              </w:rPr>
              <w:t>推荐1人进行校级差额评审</w:t>
            </w:r>
          </w:p>
        </w:tc>
        <w:tc>
          <w:tcPr>
            <w:tcW w:w="2387" w:type="dxa"/>
            <w:vAlign w:val="center"/>
          </w:tcPr>
          <w:p w14:paraId="4DF960E5">
            <w:pPr>
              <w:jc w:val="center"/>
              <w:rPr>
                <w:rFonts w:hint="eastAsia" w:ascii="仿宋" w:hAnsi="仿宋" w:eastAsia="仿宋" w:cs="仿宋"/>
                <w:color w:val="000000"/>
                <w:sz w:val="21"/>
                <w:szCs w:val="21"/>
              </w:rPr>
            </w:pPr>
            <w:r>
              <w:rPr>
                <w:rFonts w:hint="eastAsia" w:ascii="仿宋" w:hAnsi="仿宋" w:eastAsia="仿宋" w:cs="仿宋"/>
                <w:color w:val="000000"/>
                <w:sz w:val="21"/>
                <w:szCs w:val="21"/>
              </w:rPr>
              <w:t>1</w:t>
            </w:r>
          </w:p>
        </w:tc>
        <w:tc>
          <w:tcPr>
            <w:tcW w:w="1235" w:type="dxa"/>
            <w:vMerge w:val="restart"/>
            <w:vAlign w:val="center"/>
          </w:tcPr>
          <w:p w14:paraId="74D52FEA">
            <w:pPr>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1</w:t>
            </w:r>
          </w:p>
        </w:tc>
      </w:tr>
      <w:tr w14:paraId="32B74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2577" w:type="dxa"/>
            <w:shd w:val="clear" w:color="auto" w:fill="auto"/>
            <w:noWrap/>
            <w:vAlign w:val="center"/>
          </w:tcPr>
          <w:p w14:paraId="37E48DB0">
            <w:pPr>
              <w:jc w:val="center"/>
              <w:rPr>
                <w:rFonts w:hint="eastAsia" w:ascii="仿宋" w:hAnsi="仿宋" w:eastAsia="仿宋" w:cs="仿宋"/>
                <w:color w:val="000000"/>
                <w:sz w:val="21"/>
                <w:szCs w:val="21"/>
              </w:rPr>
            </w:pPr>
            <w:r>
              <w:rPr>
                <w:rFonts w:hint="eastAsia" w:ascii="仿宋" w:hAnsi="仿宋" w:eastAsia="仿宋" w:cs="仿宋"/>
                <w:b/>
                <w:bCs/>
                <w:i w:val="0"/>
                <w:iCs w:val="0"/>
                <w:color w:val="000000"/>
                <w:kern w:val="0"/>
                <w:sz w:val="21"/>
                <w:szCs w:val="21"/>
                <w:u w:val="none"/>
                <w:lang w:val="en-US" w:eastAsia="zh-CN" w:bidi="ar"/>
              </w:rPr>
              <w:t>导演系</w:t>
            </w:r>
          </w:p>
        </w:tc>
        <w:tc>
          <w:tcPr>
            <w:tcW w:w="2038" w:type="dxa"/>
            <w:vMerge w:val="continue"/>
            <w:shd w:val="clear" w:color="auto" w:fill="auto"/>
            <w:noWrap/>
            <w:vAlign w:val="center"/>
          </w:tcPr>
          <w:p w14:paraId="1DFFFADB">
            <w:pPr>
              <w:jc w:val="center"/>
              <w:rPr>
                <w:rFonts w:hint="eastAsia" w:ascii="仿宋" w:hAnsi="仿宋" w:eastAsia="仿宋" w:cs="仿宋"/>
                <w:color w:val="000000"/>
                <w:sz w:val="21"/>
                <w:szCs w:val="21"/>
                <w:lang w:eastAsia="zh-CN"/>
              </w:rPr>
            </w:pPr>
          </w:p>
        </w:tc>
        <w:tc>
          <w:tcPr>
            <w:tcW w:w="2387" w:type="dxa"/>
            <w:vAlign w:val="center"/>
          </w:tcPr>
          <w:p w14:paraId="6ED1F400">
            <w:pPr>
              <w:jc w:val="center"/>
              <w:rPr>
                <w:rFonts w:hint="eastAsia" w:ascii="仿宋" w:hAnsi="仿宋" w:eastAsia="仿宋" w:cs="仿宋"/>
                <w:color w:val="000000"/>
                <w:sz w:val="21"/>
                <w:szCs w:val="21"/>
              </w:rPr>
            </w:pPr>
            <w:r>
              <w:rPr>
                <w:rFonts w:hint="eastAsia" w:ascii="仿宋" w:hAnsi="仿宋" w:eastAsia="仿宋" w:cs="仿宋"/>
                <w:color w:val="000000"/>
                <w:sz w:val="21"/>
                <w:szCs w:val="21"/>
              </w:rPr>
              <w:t>1</w:t>
            </w:r>
          </w:p>
        </w:tc>
        <w:tc>
          <w:tcPr>
            <w:tcW w:w="1235" w:type="dxa"/>
            <w:vMerge w:val="continue"/>
            <w:vAlign w:val="center"/>
          </w:tcPr>
          <w:p w14:paraId="4AED0268">
            <w:pPr>
              <w:jc w:val="center"/>
              <w:rPr>
                <w:rFonts w:hint="eastAsia" w:ascii="仿宋" w:hAnsi="仿宋" w:eastAsia="仿宋" w:cs="仿宋"/>
                <w:color w:val="000000"/>
                <w:sz w:val="21"/>
                <w:szCs w:val="21"/>
              </w:rPr>
            </w:pPr>
          </w:p>
        </w:tc>
      </w:tr>
      <w:tr w14:paraId="2FDB7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2577" w:type="dxa"/>
            <w:shd w:val="clear" w:color="auto" w:fill="auto"/>
            <w:noWrap/>
            <w:vAlign w:val="center"/>
          </w:tcPr>
          <w:p w14:paraId="74A738C9">
            <w:pPr>
              <w:jc w:val="center"/>
              <w:rPr>
                <w:rFonts w:hint="eastAsia" w:ascii="仿宋" w:hAnsi="仿宋" w:eastAsia="仿宋" w:cs="仿宋"/>
                <w:color w:val="000000"/>
                <w:sz w:val="21"/>
                <w:szCs w:val="21"/>
              </w:rPr>
            </w:pPr>
            <w:r>
              <w:rPr>
                <w:rFonts w:hint="eastAsia" w:ascii="仿宋" w:hAnsi="仿宋" w:eastAsia="仿宋" w:cs="仿宋"/>
                <w:b/>
                <w:bCs/>
                <w:i w:val="0"/>
                <w:iCs w:val="0"/>
                <w:color w:val="000000"/>
                <w:kern w:val="0"/>
                <w:sz w:val="21"/>
                <w:szCs w:val="21"/>
                <w:u w:val="none"/>
                <w:lang w:val="en-US" w:eastAsia="zh-CN" w:bidi="ar"/>
              </w:rPr>
              <w:t>戏曲学院</w:t>
            </w:r>
          </w:p>
        </w:tc>
        <w:tc>
          <w:tcPr>
            <w:tcW w:w="2038" w:type="dxa"/>
            <w:vMerge w:val="continue"/>
            <w:shd w:val="clear" w:color="auto" w:fill="auto"/>
            <w:noWrap/>
            <w:vAlign w:val="center"/>
          </w:tcPr>
          <w:p w14:paraId="243D86D0">
            <w:pPr>
              <w:jc w:val="center"/>
              <w:rPr>
                <w:rFonts w:hint="eastAsia" w:ascii="仿宋" w:hAnsi="仿宋" w:eastAsia="仿宋" w:cs="仿宋"/>
                <w:color w:val="000000"/>
                <w:sz w:val="21"/>
                <w:szCs w:val="21"/>
                <w:lang w:eastAsia="zh-CN"/>
              </w:rPr>
            </w:pPr>
          </w:p>
        </w:tc>
        <w:tc>
          <w:tcPr>
            <w:tcW w:w="2387" w:type="dxa"/>
            <w:vAlign w:val="center"/>
          </w:tcPr>
          <w:p w14:paraId="6AADC8F3">
            <w:pPr>
              <w:jc w:val="center"/>
              <w:rPr>
                <w:rFonts w:hint="eastAsia" w:ascii="仿宋" w:hAnsi="仿宋" w:eastAsia="仿宋" w:cs="仿宋"/>
                <w:color w:val="000000"/>
                <w:sz w:val="21"/>
                <w:szCs w:val="21"/>
              </w:rPr>
            </w:pPr>
            <w:r>
              <w:rPr>
                <w:rFonts w:hint="eastAsia" w:ascii="仿宋" w:hAnsi="仿宋" w:eastAsia="仿宋" w:cs="仿宋"/>
                <w:color w:val="000000"/>
                <w:sz w:val="21"/>
                <w:szCs w:val="21"/>
              </w:rPr>
              <w:t>1</w:t>
            </w:r>
          </w:p>
        </w:tc>
        <w:tc>
          <w:tcPr>
            <w:tcW w:w="1235" w:type="dxa"/>
            <w:vMerge w:val="continue"/>
            <w:vAlign w:val="center"/>
          </w:tcPr>
          <w:p w14:paraId="78783675">
            <w:pPr>
              <w:jc w:val="center"/>
              <w:rPr>
                <w:rFonts w:hint="eastAsia" w:ascii="仿宋" w:hAnsi="仿宋" w:eastAsia="仿宋" w:cs="仿宋"/>
                <w:color w:val="000000"/>
                <w:sz w:val="21"/>
                <w:szCs w:val="21"/>
              </w:rPr>
            </w:pPr>
          </w:p>
        </w:tc>
      </w:tr>
      <w:tr w14:paraId="5E436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2577" w:type="dxa"/>
            <w:shd w:val="clear" w:color="auto" w:fill="auto"/>
            <w:noWrap/>
            <w:vAlign w:val="center"/>
          </w:tcPr>
          <w:p w14:paraId="5C6AB2D0">
            <w:pPr>
              <w:jc w:val="center"/>
              <w:rPr>
                <w:rFonts w:hint="eastAsia" w:ascii="仿宋" w:hAnsi="仿宋" w:eastAsia="仿宋" w:cs="仿宋"/>
                <w:color w:val="000000"/>
                <w:sz w:val="21"/>
                <w:szCs w:val="21"/>
              </w:rPr>
            </w:pPr>
            <w:r>
              <w:rPr>
                <w:rFonts w:hint="eastAsia" w:ascii="仿宋" w:hAnsi="仿宋" w:eastAsia="仿宋" w:cs="仿宋"/>
                <w:b/>
                <w:bCs/>
                <w:i w:val="0"/>
                <w:iCs w:val="0"/>
                <w:color w:val="000000"/>
                <w:kern w:val="0"/>
                <w:sz w:val="21"/>
                <w:szCs w:val="21"/>
                <w:u w:val="none"/>
                <w:lang w:val="en-US" w:eastAsia="zh-CN" w:bidi="ar"/>
              </w:rPr>
              <w:t>艺术科技与管理学院</w:t>
            </w:r>
          </w:p>
        </w:tc>
        <w:tc>
          <w:tcPr>
            <w:tcW w:w="2038" w:type="dxa"/>
            <w:vMerge w:val="continue"/>
            <w:shd w:val="clear" w:color="auto" w:fill="auto"/>
            <w:noWrap/>
            <w:vAlign w:val="center"/>
          </w:tcPr>
          <w:p w14:paraId="40045BD4">
            <w:pPr>
              <w:jc w:val="center"/>
              <w:rPr>
                <w:rFonts w:hint="eastAsia" w:ascii="仿宋" w:hAnsi="仿宋" w:eastAsia="仿宋" w:cs="仿宋"/>
                <w:color w:val="000000"/>
                <w:sz w:val="21"/>
                <w:szCs w:val="21"/>
                <w:lang w:eastAsia="zh-CN"/>
              </w:rPr>
            </w:pPr>
          </w:p>
        </w:tc>
        <w:tc>
          <w:tcPr>
            <w:tcW w:w="2387" w:type="dxa"/>
            <w:vAlign w:val="center"/>
          </w:tcPr>
          <w:p w14:paraId="15429464">
            <w:pPr>
              <w:jc w:val="center"/>
              <w:rPr>
                <w:rFonts w:hint="eastAsia" w:ascii="仿宋" w:hAnsi="仿宋" w:eastAsia="仿宋" w:cs="仿宋"/>
                <w:color w:val="000000"/>
                <w:sz w:val="21"/>
                <w:szCs w:val="21"/>
              </w:rPr>
            </w:pPr>
            <w:r>
              <w:rPr>
                <w:rFonts w:hint="eastAsia" w:ascii="仿宋" w:hAnsi="仿宋" w:eastAsia="仿宋" w:cs="仿宋"/>
                <w:color w:val="000000"/>
                <w:sz w:val="21"/>
                <w:szCs w:val="21"/>
              </w:rPr>
              <w:t>1</w:t>
            </w:r>
          </w:p>
        </w:tc>
        <w:tc>
          <w:tcPr>
            <w:tcW w:w="1235" w:type="dxa"/>
            <w:vMerge w:val="continue"/>
            <w:vAlign w:val="center"/>
          </w:tcPr>
          <w:p w14:paraId="1D902C64">
            <w:pPr>
              <w:jc w:val="center"/>
              <w:rPr>
                <w:rFonts w:hint="eastAsia" w:ascii="仿宋" w:hAnsi="仿宋" w:eastAsia="仿宋" w:cs="仿宋"/>
                <w:color w:val="000000"/>
                <w:sz w:val="21"/>
                <w:szCs w:val="21"/>
              </w:rPr>
            </w:pPr>
          </w:p>
        </w:tc>
      </w:tr>
      <w:tr w14:paraId="4BF69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2577" w:type="dxa"/>
            <w:shd w:val="clear" w:color="auto" w:fill="auto"/>
            <w:noWrap/>
            <w:vAlign w:val="center"/>
          </w:tcPr>
          <w:p w14:paraId="19E87274">
            <w:pPr>
              <w:jc w:val="center"/>
              <w:rPr>
                <w:rFonts w:hint="eastAsia" w:ascii="仿宋" w:hAnsi="仿宋" w:eastAsia="仿宋" w:cs="仿宋"/>
                <w:color w:val="000000"/>
                <w:sz w:val="21"/>
                <w:szCs w:val="21"/>
              </w:rPr>
            </w:pPr>
            <w:r>
              <w:rPr>
                <w:rFonts w:hint="eastAsia" w:ascii="仿宋" w:hAnsi="仿宋" w:eastAsia="仿宋" w:cs="仿宋"/>
                <w:b/>
                <w:bCs/>
                <w:i w:val="0"/>
                <w:iCs w:val="0"/>
                <w:color w:val="000000"/>
                <w:kern w:val="0"/>
                <w:sz w:val="21"/>
                <w:szCs w:val="21"/>
                <w:u w:val="none"/>
                <w:lang w:val="en-US" w:eastAsia="zh-CN" w:bidi="ar"/>
              </w:rPr>
              <w:t>舞台美术系</w:t>
            </w:r>
          </w:p>
        </w:tc>
        <w:tc>
          <w:tcPr>
            <w:tcW w:w="2038" w:type="dxa"/>
            <w:shd w:val="clear" w:color="auto" w:fill="auto"/>
            <w:noWrap/>
            <w:vAlign w:val="center"/>
          </w:tcPr>
          <w:p w14:paraId="474C0F0B">
            <w:pPr>
              <w:jc w:val="center"/>
              <w:rPr>
                <w:rFonts w:hint="eastAsia" w:ascii="仿宋" w:hAnsi="仿宋" w:eastAsia="仿宋" w:cs="仿宋"/>
                <w:color w:val="000000"/>
                <w:sz w:val="21"/>
                <w:szCs w:val="21"/>
                <w:lang w:eastAsia="zh-CN"/>
              </w:rPr>
            </w:pPr>
            <w:r>
              <w:rPr>
                <w:rFonts w:hint="eastAsia" w:ascii="仿宋" w:hAnsi="仿宋" w:eastAsia="仿宋" w:cs="仿宋"/>
                <w:color w:val="000000"/>
                <w:sz w:val="21"/>
                <w:szCs w:val="21"/>
                <w:lang w:val="en-US" w:eastAsia="zh-CN"/>
              </w:rPr>
              <w:t>1</w:t>
            </w:r>
          </w:p>
        </w:tc>
        <w:tc>
          <w:tcPr>
            <w:tcW w:w="2387" w:type="dxa"/>
            <w:vMerge w:val="restart"/>
            <w:vAlign w:val="center"/>
          </w:tcPr>
          <w:p w14:paraId="31D009B4">
            <w:pPr>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w:t>
            </w:r>
          </w:p>
        </w:tc>
        <w:tc>
          <w:tcPr>
            <w:tcW w:w="1235" w:type="dxa"/>
            <w:vMerge w:val="restart"/>
            <w:vAlign w:val="center"/>
          </w:tcPr>
          <w:p w14:paraId="30D97D53">
            <w:pPr>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w:t>
            </w:r>
          </w:p>
        </w:tc>
      </w:tr>
      <w:tr w14:paraId="206A4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2577" w:type="dxa"/>
            <w:shd w:val="clear" w:color="auto" w:fill="auto"/>
            <w:noWrap/>
            <w:vAlign w:val="center"/>
          </w:tcPr>
          <w:p w14:paraId="2C98B6B2">
            <w:pPr>
              <w:jc w:val="center"/>
              <w:rPr>
                <w:rFonts w:hint="eastAsia" w:ascii="仿宋" w:hAnsi="仿宋" w:eastAsia="仿宋" w:cs="仿宋"/>
                <w:color w:val="000000"/>
                <w:sz w:val="21"/>
                <w:szCs w:val="21"/>
              </w:rPr>
            </w:pPr>
            <w:r>
              <w:rPr>
                <w:rFonts w:hint="eastAsia" w:ascii="仿宋" w:hAnsi="仿宋" w:eastAsia="仿宋" w:cs="仿宋"/>
                <w:b/>
                <w:bCs/>
                <w:i w:val="0"/>
                <w:iCs w:val="0"/>
                <w:color w:val="000000"/>
                <w:kern w:val="0"/>
                <w:sz w:val="21"/>
                <w:szCs w:val="21"/>
                <w:u w:val="none"/>
                <w:lang w:val="en-US" w:eastAsia="zh-CN" w:bidi="ar"/>
              </w:rPr>
              <w:t>戏剧文学系</w:t>
            </w:r>
          </w:p>
        </w:tc>
        <w:tc>
          <w:tcPr>
            <w:tcW w:w="2038" w:type="dxa"/>
            <w:shd w:val="clear" w:color="auto" w:fill="auto"/>
            <w:noWrap/>
            <w:vAlign w:val="center"/>
          </w:tcPr>
          <w:p w14:paraId="31631713">
            <w:pPr>
              <w:jc w:val="center"/>
              <w:rPr>
                <w:rFonts w:hint="eastAsia" w:ascii="仿宋" w:hAnsi="仿宋" w:eastAsia="仿宋" w:cs="仿宋"/>
                <w:color w:val="000000"/>
                <w:sz w:val="21"/>
                <w:szCs w:val="21"/>
                <w:lang w:eastAsia="zh-CN"/>
              </w:rPr>
            </w:pPr>
            <w:r>
              <w:rPr>
                <w:rFonts w:hint="eastAsia" w:ascii="仿宋" w:hAnsi="仿宋" w:eastAsia="仿宋" w:cs="仿宋"/>
                <w:color w:val="000000"/>
                <w:sz w:val="21"/>
                <w:szCs w:val="21"/>
                <w:lang w:val="en-US" w:eastAsia="zh-CN"/>
              </w:rPr>
              <w:t>4</w:t>
            </w:r>
          </w:p>
        </w:tc>
        <w:tc>
          <w:tcPr>
            <w:tcW w:w="2387" w:type="dxa"/>
            <w:vMerge w:val="continue"/>
            <w:vAlign w:val="center"/>
          </w:tcPr>
          <w:p w14:paraId="3A7E1E7D">
            <w:pPr>
              <w:jc w:val="center"/>
              <w:rPr>
                <w:rFonts w:hint="eastAsia" w:ascii="仿宋" w:hAnsi="仿宋" w:eastAsia="仿宋" w:cs="仿宋"/>
                <w:color w:val="000000"/>
                <w:sz w:val="21"/>
                <w:szCs w:val="21"/>
                <w:lang w:val="en-US" w:eastAsia="zh-CN"/>
              </w:rPr>
            </w:pPr>
          </w:p>
        </w:tc>
        <w:tc>
          <w:tcPr>
            <w:tcW w:w="1235" w:type="dxa"/>
            <w:vMerge w:val="continue"/>
            <w:vAlign w:val="center"/>
          </w:tcPr>
          <w:p w14:paraId="0BB4A612">
            <w:pPr>
              <w:jc w:val="center"/>
              <w:rPr>
                <w:rFonts w:hint="eastAsia" w:ascii="仿宋" w:hAnsi="仿宋" w:eastAsia="仿宋" w:cs="仿宋"/>
                <w:color w:val="000000"/>
                <w:sz w:val="21"/>
                <w:szCs w:val="21"/>
                <w:lang w:val="en-US" w:eastAsia="zh-CN"/>
              </w:rPr>
            </w:pPr>
          </w:p>
        </w:tc>
      </w:tr>
      <w:tr w14:paraId="75448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2577" w:type="dxa"/>
            <w:shd w:val="clear" w:color="auto" w:fill="auto"/>
            <w:noWrap/>
            <w:vAlign w:val="center"/>
          </w:tcPr>
          <w:p w14:paraId="13EB27F1">
            <w:pPr>
              <w:jc w:val="center"/>
              <w:rPr>
                <w:rFonts w:hint="eastAsia" w:ascii="仿宋" w:hAnsi="仿宋" w:eastAsia="仿宋" w:cs="仿宋"/>
                <w:color w:val="000000"/>
                <w:kern w:val="0"/>
                <w:sz w:val="21"/>
                <w:szCs w:val="21"/>
                <w:lang w:val="en-US" w:eastAsia="zh-CN" w:bidi="ar-SA"/>
              </w:rPr>
            </w:pPr>
            <w:r>
              <w:rPr>
                <w:rFonts w:hint="eastAsia" w:ascii="仿宋" w:hAnsi="仿宋" w:eastAsia="仿宋" w:cs="仿宋"/>
                <w:b/>
                <w:bCs/>
                <w:i w:val="0"/>
                <w:iCs w:val="0"/>
                <w:color w:val="000000"/>
                <w:kern w:val="0"/>
                <w:sz w:val="21"/>
                <w:szCs w:val="21"/>
                <w:u w:val="none"/>
                <w:lang w:val="en-US" w:eastAsia="zh-CN" w:bidi="ar"/>
              </w:rPr>
              <w:t>电影学院</w:t>
            </w:r>
          </w:p>
        </w:tc>
        <w:tc>
          <w:tcPr>
            <w:tcW w:w="2038" w:type="dxa"/>
            <w:shd w:val="clear" w:color="auto" w:fill="auto"/>
            <w:noWrap/>
            <w:vAlign w:val="center"/>
          </w:tcPr>
          <w:p w14:paraId="6C08DAC3">
            <w:pPr>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1</w:t>
            </w:r>
          </w:p>
        </w:tc>
        <w:tc>
          <w:tcPr>
            <w:tcW w:w="2387" w:type="dxa"/>
            <w:vMerge w:val="continue"/>
            <w:vAlign w:val="center"/>
          </w:tcPr>
          <w:p w14:paraId="240DF41C">
            <w:pPr>
              <w:jc w:val="center"/>
              <w:rPr>
                <w:rFonts w:hint="eastAsia" w:ascii="仿宋" w:hAnsi="仿宋" w:eastAsia="仿宋" w:cs="仿宋"/>
                <w:color w:val="000000"/>
                <w:sz w:val="21"/>
                <w:szCs w:val="21"/>
                <w:lang w:val="en-US" w:eastAsia="zh-CN"/>
              </w:rPr>
            </w:pPr>
          </w:p>
        </w:tc>
        <w:tc>
          <w:tcPr>
            <w:tcW w:w="1235" w:type="dxa"/>
            <w:vMerge w:val="continue"/>
            <w:vAlign w:val="center"/>
          </w:tcPr>
          <w:p w14:paraId="54517947">
            <w:pPr>
              <w:jc w:val="center"/>
              <w:rPr>
                <w:rFonts w:hint="eastAsia" w:ascii="仿宋" w:hAnsi="仿宋" w:eastAsia="仿宋" w:cs="仿宋"/>
                <w:color w:val="000000"/>
                <w:sz w:val="21"/>
                <w:szCs w:val="21"/>
                <w:lang w:val="en-US" w:eastAsia="zh-CN"/>
              </w:rPr>
            </w:pPr>
          </w:p>
        </w:tc>
      </w:tr>
      <w:tr w14:paraId="00C83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577" w:type="dxa"/>
            <w:shd w:val="clear" w:color="auto" w:fill="auto"/>
            <w:noWrap/>
            <w:vAlign w:val="center"/>
          </w:tcPr>
          <w:p w14:paraId="29362B27">
            <w:pPr>
              <w:jc w:val="center"/>
              <w:rPr>
                <w:rFonts w:hint="eastAsia" w:ascii="仿宋" w:hAnsi="仿宋" w:eastAsia="仿宋" w:cs="仿宋"/>
                <w:color w:val="000000"/>
                <w:sz w:val="21"/>
                <w:szCs w:val="21"/>
              </w:rPr>
            </w:pPr>
            <w:r>
              <w:rPr>
                <w:rFonts w:hint="eastAsia" w:ascii="仿宋" w:hAnsi="仿宋" w:eastAsia="仿宋" w:cs="仿宋"/>
                <w:b/>
                <w:bCs/>
                <w:i w:val="0"/>
                <w:iCs w:val="0"/>
                <w:color w:val="000000"/>
                <w:kern w:val="0"/>
                <w:sz w:val="21"/>
                <w:szCs w:val="21"/>
                <w:u w:val="none"/>
                <w:lang w:val="en-US" w:eastAsia="zh-CN" w:bidi="ar"/>
              </w:rPr>
              <w:t>舞蹈学院</w:t>
            </w:r>
          </w:p>
        </w:tc>
        <w:tc>
          <w:tcPr>
            <w:tcW w:w="2038" w:type="dxa"/>
            <w:shd w:val="clear" w:color="auto" w:fill="auto"/>
            <w:noWrap/>
            <w:vAlign w:val="center"/>
          </w:tcPr>
          <w:p w14:paraId="203AE892">
            <w:pPr>
              <w:jc w:val="center"/>
              <w:rPr>
                <w:rFonts w:hint="eastAsia" w:ascii="仿宋" w:hAnsi="仿宋" w:eastAsia="仿宋" w:cs="仿宋"/>
                <w:color w:val="000000"/>
                <w:sz w:val="21"/>
                <w:szCs w:val="21"/>
                <w:lang w:eastAsia="zh-CN"/>
              </w:rPr>
            </w:pPr>
            <w:r>
              <w:rPr>
                <w:rFonts w:hint="eastAsia" w:ascii="仿宋" w:hAnsi="仿宋" w:eastAsia="仿宋" w:cs="仿宋"/>
                <w:color w:val="000000"/>
                <w:sz w:val="21"/>
                <w:szCs w:val="21"/>
                <w:lang w:val="en-US" w:eastAsia="zh-CN"/>
              </w:rPr>
              <w:t>1</w:t>
            </w:r>
          </w:p>
        </w:tc>
        <w:tc>
          <w:tcPr>
            <w:tcW w:w="2387" w:type="dxa"/>
            <w:vMerge w:val="continue"/>
            <w:vAlign w:val="center"/>
          </w:tcPr>
          <w:p w14:paraId="0F18AC1A">
            <w:pPr>
              <w:jc w:val="center"/>
              <w:rPr>
                <w:rFonts w:hint="eastAsia" w:ascii="仿宋" w:hAnsi="仿宋" w:eastAsia="仿宋" w:cs="仿宋"/>
                <w:color w:val="000000"/>
                <w:sz w:val="21"/>
                <w:szCs w:val="21"/>
                <w:lang w:val="en-US" w:eastAsia="zh-CN"/>
              </w:rPr>
            </w:pPr>
          </w:p>
        </w:tc>
        <w:tc>
          <w:tcPr>
            <w:tcW w:w="1235" w:type="dxa"/>
            <w:vMerge w:val="continue"/>
            <w:vAlign w:val="center"/>
          </w:tcPr>
          <w:p w14:paraId="2305656D">
            <w:pPr>
              <w:jc w:val="center"/>
              <w:rPr>
                <w:rFonts w:hint="eastAsia" w:ascii="仿宋" w:hAnsi="仿宋" w:eastAsia="仿宋" w:cs="仿宋"/>
                <w:color w:val="000000"/>
                <w:sz w:val="21"/>
                <w:szCs w:val="21"/>
                <w:lang w:val="en-US" w:eastAsia="zh-CN"/>
              </w:rPr>
            </w:pPr>
          </w:p>
        </w:tc>
      </w:tr>
    </w:tbl>
    <w:p w14:paraId="320F965D">
      <w:pPr>
        <w:spacing w:line="360" w:lineRule="auto"/>
        <w:rPr>
          <w:rFonts w:ascii="仿宋" w:hAnsi="仿宋" w:eastAsia="仿宋"/>
        </w:rPr>
      </w:pPr>
    </w:p>
    <w:p w14:paraId="6F08477A">
      <w:pPr>
        <w:widowControl w:val="0"/>
        <w:numPr>
          <w:ilvl w:val="0"/>
          <w:numId w:val="0"/>
        </w:numPr>
        <w:rPr>
          <w:rFonts w:hint="eastAsia" w:ascii="仿宋" w:hAnsi="仿宋" w:eastAsia="仿宋"/>
          <w:color w:val="000000"/>
          <w:sz w:val="28"/>
          <w:szCs w:val="28"/>
          <w:lang w:eastAsia="zh-CN"/>
        </w:rPr>
      </w:pPr>
      <w:r>
        <w:rPr>
          <w:rFonts w:hint="eastAsia" w:ascii="仿宋" w:hAnsi="仿宋" w:eastAsia="仿宋"/>
          <w:color w:val="000000"/>
          <w:sz w:val="28"/>
          <w:szCs w:val="28"/>
          <w:lang w:val="en-US" w:eastAsia="zh-CN"/>
        </w:rPr>
        <w:t>*</w:t>
      </w:r>
      <w:r>
        <w:rPr>
          <w:rFonts w:hint="eastAsia" w:ascii="仿宋" w:hAnsi="仿宋" w:eastAsia="仿宋"/>
          <w:color w:val="000000"/>
          <w:sz w:val="28"/>
          <w:szCs w:val="28"/>
        </w:rPr>
        <w:t>不含</w:t>
      </w:r>
      <w:r>
        <w:rPr>
          <w:rFonts w:hint="eastAsia" w:ascii="仿宋" w:hAnsi="仿宋" w:eastAsia="仿宋"/>
          <w:color w:val="000000"/>
          <w:sz w:val="28"/>
          <w:szCs w:val="28"/>
          <w:lang w:val="en-US" w:eastAsia="zh-CN"/>
        </w:rPr>
        <w:t>定向就业、</w:t>
      </w:r>
      <w:r>
        <w:rPr>
          <w:rFonts w:hint="eastAsia" w:ascii="仿宋" w:hAnsi="仿宋" w:eastAsia="仿宋"/>
          <w:color w:val="000000"/>
          <w:sz w:val="28"/>
          <w:szCs w:val="28"/>
        </w:rPr>
        <w:t>延期</w:t>
      </w:r>
      <w:r>
        <w:rPr>
          <w:rFonts w:hint="eastAsia" w:ascii="仿宋" w:hAnsi="仿宋" w:eastAsia="仿宋"/>
          <w:color w:val="000000"/>
          <w:sz w:val="28"/>
          <w:szCs w:val="28"/>
          <w:lang w:val="en-US" w:eastAsia="zh-CN"/>
        </w:rPr>
        <w:t>毕业学生，不含</w:t>
      </w:r>
      <w:r>
        <w:rPr>
          <w:rFonts w:hint="eastAsia" w:ascii="仿宋" w:hAnsi="仿宋" w:eastAsia="仿宋" w:cs="仿宋"/>
          <w:color w:val="000000" w:themeColor="text1"/>
          <w:sz w:val="28"/>
          <w:szCs w:val="28"/>
          <w14:textFill>
            <w14:solidFill>
              <w14:schemeClr w14:val="tx1"/>
            </w14:solidFill>
          </w14:textFill>
        </w:rPr>
        <w:t>参评学年学籍状态处于休学、保留学籍</w:t>
      </w:r>
      <w:r>
        <w:rPr>
          <w:rFonts w:hint="eastAsia" w:ascii="仿宋" w:hAnsi="仿宋" w:eastAsia="仿宋" w:cs="仿宋"/>
          <w:color w:val="000000" w:themeColor="text1"/>
          <w:sz w:val="28"/>
          <w:szCs w:val="28"/>
          <w:lang w:val="en-US" w:eastAsia="zh-CN"/>
          <w14:textFill>
            <w14:solidFill>
              <w14:schemeClr w14:val="tx1"/>
            </w14:solidFill>
          </w14:textFill>
        </w:rPr>
        <w:t>学生，</w:t>
      </w:r>
      <w:r>
        <w:rPr>
          <w:rFonts w:hint="eastAsia" w:ascii="仿宋" w:hAnsi="仿宋" w:eastAsia="仿宋"/>
          <w:color w:val="000000"/>
          <w:sz w:val="28"/>
          <w:szCs w:val="28"/>
          <w:lang w:val="en-US" w:eastAsia="zh-CN"/>
        </w:rPr>
        <w:t>不含</w:t>
      </w:r>
      <w:r>
        <w:rPr>
          <w:rFonts w:hint="eastAsia" w:ascii="仿宋" w:hAnsi="仿宋" w:eastAsia="仿宋"/>
          <w:color w:val="000000"/>
          <w:sz w:val="28"/>
          <w:szCs w:val="28"/>
        </w:rPr>
        <w:t>港澳台</w:t>
      </w:r>
      <w:r>
        <w:rPr>
          <w:rFonts w:hint="eastAsia" w:ascii="仿宋" w:hAnsi="仿宋" w:eastAsia="仿宋"/>
          <w:color w:val="000000"/>
          <w:sz w:val="28"/>
          <w:szCs w:val="28"/>
          <w:lang w:val="en-US" w:eastAsia="zh-CN"/>
        </w:rPr>
        <w:t>交换生及</w:t>
      </w:r>
      <w:r>
        <w:rPr>
          <w:rFonts w:hint="eastAsia" w:ascii="仿宋" w:hAnsi="仿宋" w:eastAsia="仿宋"/>
          <w:color w:val="000000"/>
          <w:sz w:val="28"/>
          <w:szCs w:val="28"/>
        </w:rPr>
        <w:t>留学生</w:t>
      </w:r>
      <w:r>
        <w:rPr>
          <w:rFonts w:hint="eastAsia" w:ascii="仿宋" w:hAnsi="仿宋" w:eastAsia="仿宋"/>
          <w:color w:val="000000"/>
          <w:sz w:val="28"/>
          <w:szCs w:val="28"/>
          <w:lang w:eastAsia="zh-CN"/>
        </w:rPr>
        <w:t>。</w:t>
      </w:r>
    </w:p>
    <w:p w14:paraId="3B05496D">
      <w:pPr>
        <w:widowControl w:val="0"/>
        <w:numPr>
          <w:ilvl w:val="0"/>
          <w:numId w:val="0"/>
        </w:numPr>
        <w:jc w:val="right"/>
        <w:rPr>
          <w:rFonts w:hint="eastAsia" w:ascii="仿宋" w:hAnsi="仿宋" w:eastAsia="仿宋"/>
          <w:color w:val="000000"/>
          <w:sz w:val="28"/>
          <w:szCs w:val="28"/>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KSOFBFDA8B98">
    <w:panose1 w:val="0201060103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lhOTA2NjE2NDFjOTg3NDZhMjczNGQwOGQ3YTczODgifQ=="/>
  </w:docVars>
  <w:rsids>
    <w:rsidRoot w:val="00D234E3"/>
    <w:rsid w:val="0001534F"/>
    <w:rsid w:val="000441CD"/>
    <w:rsid w:val="0007534A"/>
    <w:rsid w:val="0007577F"/>
    <w:rsid w:val="000C3F16"/>
    <w:rsid w:val="000E05FE"/>
    <w:rsid w:val="00143A15"/>
    <w:rsid w:val="00190E92"/>
    <w:rsid w:val="001C2745"/>
    <w:rsid w:val="001D10A2"/>
    <w:rsid w:val="001F1BD9"/>
    <w:rsid w:val="0025210A"/>
    <w:rsid w:val="002B0A25"/>
    <w:rsid w:val="002E7994"/>
    <w:rsid w:val="0034729A"/>
    <w:rsid w:val="003479FF"/>
    <w:rsid w:val="003C3E10"/>
    <w:rsid w:val="003E15E3"/>
    <w:rsid w:val="00407A49"/>
    <w:rsid w:val="00425AD5"/>
    <w:rsid w:val="00450202"/>
    <w:rsid w:val="004C1852"/>
    <w:rsid w:val="0056044C"/>
    <w:rsid w:val="00587BB1"/>
    <w:rsid w:val="00602266"/>
    <w:rsid w:val="006C1A1A"/>
    <w:rsid w:val="006F1A53"/>
    <w:rsid w:val="0075514E"/>
    <w:rsid w:val="00785E84"/>
    <w:rsid w:val="007A17CC"/>
    <w:rsid w:val="007A188F"/>
    <w:rsid w:val="007B386B"/>
    <w:rsid w:val="00805552"/>
    <w:rsid w:val="008344FA"/>
    <w:rsid w:val="00867E3B"/>
    <w:rsid w:val="0087656A"/>
    <w:rsid w:val="00896225"/>
    <w:rsid w:val="008F28AC"/>
    <w:rsid w:val="00902E9E"/>
    <w:rsid w:val="00924F65"/>
    <w:rsid w:val="00953782"/>
    <w:rsid w:val="009D6CBA"/>
    <w:rsid w:val="00A43AF6"/>
    <w:rsid w:val="00B07DD2"/>
    <w:rsid w:val="00B4701B"/>
    <w:rsid w:val="00B73DFC"/>
    <w:rsid w:val="00C80F7C"/>
    <w:rsid w:val="00C97331"/>
    <w:rsid w:val="00CF5068"/>
    <w:rsid w:val="00D234E3"/>
    <w:rsid w:val="00DA2CAA"/>
    <w:rsid w:val="00DD485A"/>
    <w:rsid w:val="00E03D74"/>
    <w:rsid w:val="00E16AA4"/>
    <w:rsid w:val="00F043B0"/>
    <w:rsid w:val="00F85871"/>
    <w:rsid w:val="00FA2E68"/>
    <w:rsid w:val="07DE3B9F"/>
    <w:rsid w:val="269B1255"/>
    <w:rsid w:val="2E355342"/>
    <w:rsid w:val="3CD94393"/>
    <w:rsid w:val="42E17234"/>
    <w:rsid w:val="4ACA58F4"/>
    <w:rsid w:val="4BC336E4"/>
    <w:rsid w:val="4E8A7BDD"/>
    <w:rsid w:val="53F81024"/>
    <w:rsid w:val="57721280"/>
    <w:rsid w:val="5777106C"/>
    <w:rsid w:val="5CDB0783"/>
    <w:rsid w:val="5DF63C8F"/>
    <w:rsid w:val="5E442047"/>
    <w:rsid w:val="6254705F"/>
    <w:rsid w:val="63DF774B"/>
    <w:rsid w:val="668D76D4"/>
    <w:rsid w:val="697A1168"/>
    <w:rsid w:val="72B04F70"/>
    <w:rsid w:val="745C3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kern w:val="0"/>
      <w:sz w:val="24"/>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宋体" w:hAnsi="宋体" w:eastAsia="宋体" w:cs="宋体"/>
      <w:kern w:val="0"/>
      <w:sz w:val="18"/>
      <w:szCs w:val="18"/>
    </w:rPr>
  </w:style>
  <w:style w:type="character" w:customStyle="1" w:styleId="7">
    <w:name w:val="页脚 字符"/>
    <w:basedOn w:val="5"/>
    <w:link w:val="2"/>
    <w:qFormat/>
    <w:uiPriority w:val="99"/>
    <w:rPr>
      <w:rFonts w:ascii="宋体" w:hAnsi="宋体" w:eastAsia="宋体" w:cs="宋体"/>
      <w:kern w:val="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305</Words>
  <Characters>318</Characters>
  <Lines>2</Lines>
  <Paragraphs>1</Paragraphs>
  <TotalTime>0</TotalTime>
  <ScaleCrop>false</ScaleCrop>
  <LinksUpToDate>false</LinksUpToDate>
  <CharactersWithSpaces>319</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2022-09-09T16:21:00Z</dcterms:created>
  <dc:creator>Adia</dc:creator>
  <cp:lastModifiedBy>郭冠彦</cp:lastModifiedBy>
  <cp:lastPrinted>2026-09-07T08:39:00Z</cp:lastPrinted>
  <dcterms:modified xsi:type="dcterms:W3CDTF">2026-09-11T00:32:27Z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BE522BAC68204CA0A03D75F5FBDE15B1_13</vt:lpwstr>
  </property>
  <property fmtid="{D5CDD505-2E9C-101B-9397-08002B2CF9AE}" pid="4" name="KSOTemplateDocerSaveRecord">
    <vt:lpwstr>eyJoZGlkIjoiZDNiYTQyZWQ1ZjliODg4ZDgwY2Y2YTMzYjM4NzRlNzkiLCJ1c2VySWQiOiI4NjM1NDI3MTgifQ==</vt:lpwstr>
  </property>
</Properties>
</file>