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1EF2A">
      <w:pPr>
        <w:keepNext w:val="0"/>
        <w:keepLines w:val="0"/>
        <w:pageBreakBefore w:val="0"/>
        <w:widowControl/>
        <w:kinsoku/>
        <w:wordWrap/>
        <w:overflowPunct/>
        <w:topLinePunct w:val="0"/>
        <w:autoSpaceDE/>
        <w:autoSpaceDN/>
        <w:bidi w:val="0"/>
        <w:adjustRightInd/>
        <w:snapToGrid/>
        <w:spacing w:line="360" w:lineRule="auto"/>
        <w:ind w:left="0" w:leftChars="0"/>
        <w:jc w:val="center"/>
        <w:textAlignment w:val="auto"/>
        <w:outlineLvl w:val="0"/>
        <w:rPr>
          <w:rFonts w:hint="eastAsia" w:ascii="方正小标宋简体" w:hAnsi="方正小标宋简体" w:eastAsia="方正小标宋简体" w:cs="方正小标宋简体"/>
          <w:b/>
          <w:bCs/>
          <w:color w:val="000000" w:themeColor="text1"/>
          <w:kern w:val="36"/>
          <w:sz w:val="44"/>
          <w:szCs w:val="44"/>
          <w14:textFill>
            <w14:solidFill>
              <w14:schemeClr w14:val="tx1"/>
            </w14:solidFill>
          </w14:textFill>
        </w:rPr>
      </w:pPr>
      <w:r>
        <w:rPr>
          <w:rFonts w:hint="eastAsia" w:ascii="方正小标宋简体" w:hAnsi="方正小标宋简体" w:eastAsia="方正小标宋简体" w:cs="方正小标宋简体"/>
          <w:b/>
          <w:bCs/>
          <w:color w:val="000000" w:themeColor="text1"/>
          <w:kern w:val="36"/>
          <w:sz w:val="44"/>
          <w:szCs w:val="44"/>
          <w14:textFill>
            <w14:solidFill>
              <w14:schemeClr w14:val="tx1"/>
            </w14:solidFill>
          </w14:textFill>
        </w:rPr>
        <w:t>上海戏剧学院202</w:t>
      </w:r>
      <w:r>
        <w:rPr>
          <w:rFonts w:hint="eastAsia" w:ascii="方正小标宋简体" w:hAnsi="方正小标宋简体" w:eastAsia="方正小标宋简体" w:cs="方正小标宋简体"/>
          <w:b/>
          <w:bCs/>
          <w:color w:val="000000" w:themeColor="text1"/>
          <w:kern w:val="36"/>
          <w:sz w:val="44"/>
          <w:szCs w:val="44"/>
          <w:lang w:val="en-US" w:eastAsia="zh-CN"/>
          <w14:textFill>
            <w14:solidFill>
              <w14:schemeClr w14:val="tx1"/>
            </w14:solidFill>
          </w14:textFill>
        </w:rPr>
        <w:t>6</w:t>
      </w:r>
      <w:r>
        <w:rPr>
          <w:rFonts w:hint="eastAsia" w:ascii="方正小标宋简体" w:hAnsi="方正小标宋简体" w:eastAsia="方正小标宋简体" w:cs="方正小标宋简体"/>
          <w:b/>
          <w:bCs/>
          <w:color w:val="000000" w:themeColor="text1"/>
          <w:kern w:val="36"/>
          <w:sz w:val="44"/>
          <w:szCs w:val="44"/>
          <w14:textFill>
            <w14:solidFill>
              <w14:schemeClr w14:val="tx1"/>
            </w14:solidFill>
          </w14:textFill>
        </w:rPr>
        <w:t>年度</w:t>
      </w:r>
    </w:p>
    <w:p w14:paraId="1451651E">
      <w:pPr>
        <w:keepNext w:val="0"/>
        <w:keepLines w:val="0"/>
        <w:pageBreakBefore w:val="0"/>
        <w:widowControl/>
        <w:kinsoku/>
        <w:wordWrap/>
        <w:overflowPunct/>
        <w:topLinePunct w:val="0"/>
        <w:autoSpaceDE/>
        <w:autoSpaceDN/>
        <w:bidi w:val="0"/>
        <w:adjustRightInd/>
        <w:snapToGrid/>
        <w:spacing w:line="360" w:lineRule="auto"/>
        <w:ind w:left="0" w:leftChars="0"/>
        <w:jc w:val="center"/>
        <w:textAlignment w:val="auto"/>
        <w:outlineLvl w:val="0"/>
        <w:rPr>
          <w:rFonts w:hint="eastAsia" w:ascii="方正小标宋简体" w:hAnsi="方正小标宋简体" w:eastAsia="方正小标宋简体" w:cs="方正小标宋简体"/>
          <w:b/>
          <w:bCs/>
          <w:color w:val="000000" w:themeColor="text1"/>
          <w:kern w:val="36"/>
          <w:sz w:val="44"/>
          <w:szCs w:val="44"/>
          <w14:textFill>
            <w14:solidFill>
              <w14:schemeClr w14:val="tx1"/>
            </w14:solidFill>
          </w14:textFill>
        </w:rPr>
      </w:pPr>
      <w:r>
        <w:rPr>
          <w:rFonts w:hint="eastAsia" w:ascii="方正小标宋简体" w:hAnsi="方正小标宋简体" w:eastAsia="方正小标宋简体" w:cs="方正小标宋简体"/>
          <w:b/>
          <w:bCs/>
          <w:color w:val="000000" w:themeColor="text1"/>
          <w:kern w:val="36"/>
          <w:sz w:val="44"/>
          <w:szCs w:val="44"/>
          <w14:textFill>
            <w14:solidFill>
              <w14:schemeClr w14:val="tx1"/>
            </w14:solidFill>
          </w14:textFill>
        </w:rPr>
        <w:t>硕士研究生国家奖学金评审通知</w:t>
      </w:r>
    </w:p>
    <w:p w14:paraId="7619C3E8">
      <w:pPr>
        <w:keepNext w:val="0"/>
        <w:keepLines w:val="0"/>
        <w:pageBreakBefore w:val="0"/>
        <w:widowControl/>
        <w:kinsoku/>
        <w:wordWrap/>
        <w:overflowPunct/>
        <w:topLinePunct w:val="0"/>
        <w:autoSpaceDE/>
        <w:autoSpaceDN/>
        <w:bidi w:val="0"/>
        <w:adjustRightInd/>
        <w:snapToGrid/>
        <w:spacing w:line="360" w:lineRule="auto"/>
        <w:ind w:left="0" w:leftChars="0"/>
        <w:textAlignment w:val="auto"/>
        <w:rPr>
          <w:rFonts w:hint="eastAsia" w:ascii="仿宋" w:hAnsi="仿宋" w:eastAsia="仿宋" w:cs="仿宋"/>
          <w:color w:val="000000" w:themeColor="text1"/>
          <w:sz w:val="28"/>
          <w:szCs w:val="28"/>
          <w14:textFill>
            <w14:solidFill>
              <w14:schemeClr w14:val="tx1"/>
            </w14:solidFill>
          </w14:textFill>
        </w:rPr>
      </w:pPr>
    </w:p>
    <w:p w14:paraId="6ACE3815">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研究生国家奖学金由中央财政出资设立，用于奖励普通高等学校中表现优异的全日制研究生。为激发广大研究生勤奋学习、潜心科研、勇于创新、追求卓越，充分发挥研究生国家奖学金的激励导向作用，根据《上海市教育委员会 上海市财政局 上海市退役军人事务局 上海市人民政府征兵办公室关于印发&lt;上海市普通高等学校学生资助资金管理实施办法&gt;的通知》（沪教委规〔2022〕9号）、《财政部 教育部 人力资源社会保障部 退役军人部 中央军委国防动员部关于印发&lt;学生资助资金管理办法&gt;的通知》(财教〔2021〕310号)、上海市教育委员会 上海市财政局转发《教育部 财政部关于印发〈普通高等学校研究生国家奖学金评审办法〉的通知》（沪教委财〔2014〕19号）、教育部 财政部关于印发《普通高等学校研究生国家奖学金评审办法》的通知（教财〔2014〕1号）</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spacing w:val="0"/>
          <w:sz w:val="28"/>
          <w:szCs w:val="28"/>
          <w:lang w:val="en-US" w:eastAsia="zh-CN"/>
        </w:rPr>
        <w:t>《上海戏剧学院研究生国家奖学金管理办法（2024年修订）》</w:t>
      </w:r>
      <w:r>
        <w:rPr>
          <w:rFonts w:hint="eastAsia" w:ascii="仿宋_GB2312" w:hAnsi="仿宋_GB2312" w:eastAsia="仿宋_GB2312" w:cs="仿宋_GB2312"/>
          <w:color w:val="000000" w:themeColor="text1"/>
          <w:sz w:val="28"/>
          <w:szCs w:val="28"/>
          <w14:textFill>
            <w14:solidFill>
              <w14:schemeClr w14:val="tx1"/>
            </w14:solidFill>
          </w14:textFill>
        </w:rPr>
        <w:t>等文件要求，现就切实做好我校202</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6</w:t>
      </w:r>
      <w:r>
        <w:rPr>
          <w:rFonts w:hint="eastAsia" w:ascii="仿宋_GB2312" w:hAnsi="仿宋_GB2312" w:eastAsia="仿宋_GB2312" w:cs="仿宋_GB2312"/>
          <w:color w:val="000000" w:themeColor="text1"/>
          <w:sz w:val="28"/>
          <w:szCs w:val="28"/>
          <w14:textFill>
            <w14:solidFill>
              <w14:schemeClr w14:val="tx1"/>
            </w14:solidFill>
          </w14:textFill>
        </w:rPr>
        <w:t>年硕士研究生国家奖学金评审工作有关事宜通知如下：</w:t>
      </w:r>
    </w:p>
    <w:p w14:paraId="47DDF2A7">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562"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一、参评对象</w:t>
      </w:r>
    </w:p>
    <w:p w14:paraId="75422670">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highlight w:val="yellow"/>
          <w14:textFill>
            <w14:solidFill>
              <w14:schemeClr w14:val="tx1"/>
            </w14:solidFill>
          </w14:textFill>
        </w:rPr>
      </w:pPr>
      <w:bookmarkStart w:id="4" w:name="_GoBack"/>
      <w:r>
        <w:rPr>
          <w:rFonts w:hint="eastAsia" w:ascii="仿宋_GB2312" w:hAnsi="仿宋_GB2312" w:eastAsia="仿宋_GB2312" w:cs="仿宋_GB2312"/>
          <w:color w:val="000000" w:themeColor="text1"/>
          <w:sz w:val="28"/>
          <w:szCs w:val="28"/>
          <w:highlight w:val="yellow"/>
          <w14:textFill>
            <w14:solidFill>
              <w14:schemeClr w14:val="tx1"/>
            </w14:solidFill>
          </w14:textFill>
        </w:rPr>
        <w:t>具有中华人民共和国国籍、取得上海戏剧学院学籍的全日制研究生（非定向）均有资格申请。</w:t>
      </w:r>
    </w:p>
    <w:bookmarkEnd w:id="4"/>
    <w:p w14:paraId="05DAE95B">
      <w:pPr>
        <w:pStyle w:val="3"/>
        <w:keepNext w:val="0"/>
        <w:keepLines w:val="0"/>
        <w:pageBreakBefore w:val="0"/>
        <w:widowControl/>
        <w:kinsoku/>
        <w:wordWrap/>
        <w:overflowPunct/>
        <w:topLinePunct w:val="0"/>
        <w:autoSpaceDE/>
        <w:autoSpaceDN/>
        <w:bidi w:val="0"/>
        <w:adjustRightInd/>
        <w:snapToGrid/>
        <w:spacing w:line="360" w:lineRule="auto"/>
        <w:ind w:right="0" w:firstLine="562" w:firstLineChars="200"/>
        <w:jc w:val="both"/>
        <w:textAlignment w:val="auto"/>
        <w:outlineLvl w:val="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
          <w:bCs/>
          <w:spacing w:val="0"/>
          <w:sz w:val="28"/>
          <w:szCs w:val="28"/>
        </w:rPr>
        <w:t>二、评定条件</w:t>
      </w:r>
    </w:p>
    <w:p w14:paraId="6C5222F1">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1.基本申请条件：</w:t>
      </w:r>
    </w:p>
    <w:p w14:paraId="261369E5">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（1）热爱社会主义祖国，拥护中国共产党的领导；</w:t>
      </w:r>
    </w:p>
    <w:p w14:paraId="51D230DC">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（2）遵守宪法和法律，遵守高等学校规章制度；</w:t>
      </w:r>
    </w:p>
    <w:p w14:paraId="07A94A62">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（3）诚实守信，道德品质优良；</w:t>
      </w:r>
    </w:p>
    <w:p w14:paraId="049738A5">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（4）学习成绩优异，科研能力显著，发展潜力突出。</w:t>
      </w:r>
    </w:p>
    <w:p w14:paraId="3864B768">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研究生出现以下任一情况，不具备当年研究生国家奖学金参评资格：</w:t>
      </w:r>
    </w:p>
    <w:p w14:paraId="0ADCE3BB">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（1）参评学年违反国家法律、校纪校规受到纪律处分者；</w:t>
      </w:r>
    </w:p>
    <w:p w14:paraId="57193355">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（2）参评学年有抄袭剽窃、弄虚作假等学术不端行为经查证属实者；</w:t>
      </w:r>
    </w:p>
    <w:p w14:paraId="7CD318C5">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（3）参评学年学籍状态处于休学、保留学籍者。</w:t>
      </w:r>
    </w:p>
    <w:p w14:paraId="277087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righ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spacing w:val="0"/>
          <w:kern w:val="2"/>
          <w:sz w:val="28"/>
          <w:szCs w:val="28"/>
          <w:lang w:val="en-US" w:eastAsia="zh-CN" w:bidi="ar-SA"/>
        </w:rPr>
        <w:t>2.研究生在基本修业年限内可多次获得研究生国家奖学金但获奖成果不可重复申报使用。超出学制期限基本修业年限的研究生，不再具备研究生国家奖学金参评资格。</w:t>
      </w:r>
    </w:p>
    <w:p w14:paraId="35E952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righ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spacing w:val="0"/>
          <w:kern w:val="2"/>
          <w:sz w:val="28"/>
          <w:szCs w:val="28"/>
          <w:lang w:val="en-US" w:eastAsia="zh-CN" w:bidi="ar-SA"/>
        </w:rPr>
        <w:t>3.在学制期限基本修业年限内,因国家和单位公派出国留学或校际交流在境外学习的研究生,仍具备研究生国家奖学金参评资格;由于因私出国留学、疾病、创业等原因未在校学习的研究生,期间内原则上不具备研究生国家奖学金参评资格。</w:t>
      </w:r>
    </w:p>
    <w:p w14:paraId="4BB73783">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562" w:firstLineChars="200"/>
        <w:textAlignment w:val="auto"/>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三</w:t>
      </w:r>
      <w:r>
        <w:rPr>
          <w:rFonts w:hint="eastAsia" w:ascii="仿宋_GB2312" w:hAnsi="仿宋_GB2312" w:eastAsia="仿宋_GB2312" w:cs="仿宋_GB2312"/>
          <w:b/>
          <w:bCs/>
          <w:color w:val="000000" w:themeColor="text1"/>
          <w:sz w:val="28"/>
          <w:szCs w:val="28"/>
          <w14:textFill>
            <w14:solidFill>
              <w14:schemeClr w14:val="tx1"/>
            </w14:solidFill>
          </w14:textFill>
        </w:rPr>
        <w:t>、奖励标准</w:t>
      </w:r>
    </w:p>
    <w:p w14:paraId="4ED973CE">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硕士研究生国家奖学金奖励标准为每生每年2万元，一次性发放。</w:t>
      </w:r>
    </w:p>
    <w:p w14:paraId="073C902A">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562"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四</w:t>
      </w:r>
      <w:r>
        <w:rPr>
          <w:rFonts w:hint="eastAsia" w:ascii="仿宋_GB2312" w:hAnsi="仿宋_GB2312" w:eastAsia="仿宋_GB2312" w:cs="仿宋_GB2312"/>
          <w:b/>
          <w:bCs/>
          <w:color w:val="000000" w:themeColor="text1"/>
          <w:sz w:val="28"/>
          <w:szCs w:val="28"/>
          <w14:textFill>
            <w14:solidFill>
              <w14:schemeClr w14:val="tx1"/>
            </w14:solidFill>
          </w14:textFill>
        </w:rPr>
        <w:t>、名额分配</w:t>
      </w:r>
    </w:p>
    <w:p w14:paraId="6C64666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firstLine="560" w:firstLineChars="200"/>
        <w:jc w:val="both"/>
        <w:textAlignment w:val="auto"/>
        <w:rPr>
          <w:rFonts w:hint="eastAsia" w:ascii="仿宋_GB2312" w:hAnsi="仿宋_GB2312" w:eastAsia="仿宋_GB2312" w:cs="仿宋_GB2312"/>
          <w:spacing w:val="0"/>
          <w:kern w:val="2"/>
          <w:sz w:val="28"/>
          <w:szCs w:val="28"/>
          <w:lang w:val="en-US" w:eastAsia="zh-CN" w:bidi="ar-SA"/>
        </w:rPr>
      </w:pPr>
      <w:r>
        <w:rPr>
          <w:rFonts w:hint="eastAsia" w:ascii="仿宋_GB2312" w:hAnsi="仿宋_GB2312" w:eastAsia="仿宋_GB2312" w:cs="仿宋_GB2312"/>
          <w:b w:val="0"/>
          <w:bCs w:val="0"/>
          <w:color w:val="000000" w:themeColor="text1"/>
          <w:spacing w:val="0"/>
          <w:w w:val="100"/>
          <w:sz w:val="28"/>
          <w:szCs w:val="28"/>
          <w14:textFill>
            <w14:solidFill>
              <w14:schemeClr w14:val="tx1"/>
            </w14:solidFill>
          </w14:textFill>
        </w:rPr>
        <w:t>根据</w:t>
      </w:r>
      <w:r>
        <w:rPr>
          <w:rFonts w:hint="eastAsia" w:ascii="仿宋_GB2312" w:hAnsi="仿宋_GB2312" w:eastAsia="仿宋_GB2312" w:cs="仿宋_GB2312"/>
          <w:b w:val="0"/>
          <w:bCs w:val="0"/>
          <w:spacing w:val="0"/>
          <w:w w:val="100"/>
          <w:sz w:val="28"/>
          <w:szCs w:val="28"/>
        </w:rPr>
        <w:t>《财政部教育部人力资源社会保障部关于下达2026年学生资助补助经费预算的通知》</w:t>
      </w:r>
      <w:r>
        <w:rPr>
          <w:rFonts w:hint="eastAsia" w:ascii="仿宋_GB2312" w:hAnsi="仿宋_GB2312" w:eastAsia="仿宋_GB2312" w:cs="仿宋_GB2312"/>
          <w:b w:val="0"/>
          <w:bCs w:val="0"/>
          <w:spacing w:val="0"/>
          <w:w w:val="100"/>
          <w:sz w:val="28"/>
          <w:szCs w:val="28"/>
          <w:lang w:eastAsia="zh-CN"/>
        </w:rPr>
        <w:t>（</w:t>
      </w:r>
      <w:r>
        <w:rPr>
          <w:rFonts w:hint="eastAsia" w:ascii="仿宋_GB2312" w:hAnsi="仿宋_GB2312" w:eastAsia="仿宋_GB2312" w:cs="仿宋_GB2312"/>
          <w:b w:val="0"/>
          <w:bCs w:val="0"/>
          <w:spacing w:val="0"/>
          <w:w w:val="100"/>
          <w:sz w:val="28"/>
          <w:szCs w:val="28"/>
        </w:rPr>
        <w:t>财教〔2026〕62号</w:t>
      </w:r>
      <w:r>
        <w:rPr>
          <w:rFonts w:hint="eastAsia" w:ascii="仿宋_GB2312" w:hAnsi="仿宋_GB2312" w:eastAsia="仿宋_GB2312" w:cs="仿宋_GB2312"/>
          <w:b w:val="0"/>
          <w:bCs w:val="0"/>
          <w:spacing w:val="0"/>
          <w:w w:val="100"/>
          <w:sz w:val="28"/>
          <w:szCs w:val="28"/>
          <w:lang w:eastAsia="zh-CN"/>
        </w:rPr>
        <w:t>）</w:t>
      </w:r>
      <w:r>
        <w:rPr>
          <w:rFonts w:hint="eastAsia" w:ascii="仿宋_GB2312" w:hAnsi="仿宋_GB2312" w:eastAsia="仿宋_GB2312" w:cs="仿宋_GB2312"/>
          <w:b w:val="0"/>
          <w:bCs w:val="0"/>
          <w:color w:val="000000" w:themeColor="text1"/>
          <w:spacing w:val="0"/>
          <w:w w:val="100"/>
          <w:sz w:val="28"/>
          <w:szCs w:val="28"/>
          <w:lang w:val="en-US" w:eastAsia="zh-CN"/>
          <w14:textFill>
            <w14:solidFill>
              <w14:schemeClr w14:val="tx1"/>
            </w14:solidFill>
          </w14:textFill>
        </w:rPr>
        <w:t>及上海市学生事务</w:t>
      </w:r>
      <w:r>
        <w:rPr>
          <w:rFonts w:hint="eastAsia" w:ascii="仿宋_GB2312" w:hAnsi="仿宋_GB2312" w:eastAsia="仿宋_GB2312" w:cs="仿宋_GB2312"/>
          <w:b w:val="0"/>
          <w:bCs w:val="0"/>
          <w:color w:val="000000" w:themeColor="text1"/>
          <w:spacing w:val="0"/>
          <w:w w:val="100"/>
          <w:sz w:val="28"/>
          <w:szCs w:val="28"/>
          <w:highlight w:val="none"/>
          <w:lang w:val="en-US" w:eastAsia="zh-CN"/>
          <w14:textFill>
            <w14:solidFill>
              <w14:schemeClr w14:val="tx1"/>
            </w14:solidFill>
          </w14:textFill>
        </w:rPr>
        <w:t>中心通知文件</w:t>
      </w:r>
      <w:r>
        <w:rPr>
          <w:rFonts w:hint="eastAsia" w:ascii="仿宋_GB2312" w:hAnsi="仿宋_GB2312" w:eastAsia="仿宋_GB2312" w:cs="仿宋_GB2312"/>
          <w:b w:val="0"/>
          <w:bCs w:val="0"/>
          <w:color w:val="000000" w:themeColor="text1"/>
          <w:spacing w:val="0"/>
          <w:w w:val="100"/>
          <w:sz w:val="28"/>
          <w:szCs w:val="28"/>
          <w:highlight w:val="none"/>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我校</w:t>
      </w:r>
      <w:r>
        <w:rPr>
          <w:rFonts w:hint="eastAsia" w:ascii="仿宋" w:hAnsi="仿宋" w:eastAsia="仿宋" w:cs="仿宋"/>
          <w:color w:val="000000" w:themeColor="text1"/>
          <w:sz w:val="28"/>
          <w:szCs w:val="28"/>
          <w:lang w:val="en-US" w:eastAsia="zh-CN"/>
          <w14:textFill>
            <w14:solidFill>
              <w14:schemeClr w14:val="tx1"/>
            </w14:solidFill>
          </w14:textFill>
        </w:rPr>
        <w:t>2026年度</w:t>
      </w:r>
      <w:r>
        <w:rPr>
          <w:rFonts w:hint="eastAsia" w:ascii="仿宋" w:hAnsi="仿宋" w:eastAsia="仿宋" w:cs="仿宋"/>
          <w:color w:val="000000" w:themeColor="text1"/>
          <w:sz w:val="28"/>
          <w:szCs w:val="28"/>
          <w14:textFill>
            <w14:solidFill>
              <w14:schemeClr w14:val="tx1"/>
            </w14:solidFill>
          </w14:textFill>
        </w:rPr>
        <w:t>硕士研究生国家奖学金名额为</w:t>
      </w:r>
      <w:r>
        <w:rPr>
          <w:rFonts w:hint="eastAsia" w:ascii="仿宋" w:hAnsi="仿宋" w:eastAsia="仿宋" w:cs="仿宋"/>
          <w:color w:val="000000" w:themeColor="text1"/>
          <w:sz w:val="28"/>
          <w:szCs w:val="28"/>
          <w:lang w:val="en-US" w:eastAsia="zh-CN"/>
          <w14:textFill>
            <w14:solidFill>
              <w14:schemeClr w14:val="tx1"/>
            </w14:solidFill>
          </w14:textFill>
        </w:rPr>
        <w:t>20</w:t>
      </w:r>
      <w:r>
        <w:rPr>
          <w:rFonts w:hint="eastAsia" w:ascii="仿宋" w:hAnsi="仿宋" w:eastAsia="仿宋" w:cs="仿宋"/>
          <w:color w:val="000000" w:themeColor="text1"/>
          <w:sz w:val="28"/>
          <w:szCs w:val="28"/>
          <w14:textFill>
            <w14:solidFill>
              <w14:schemeClr w14:val="tx1"/>
            </w14:solidFill>
          </w14:textFill>
        </w:rPr>
        <w:t>名，</w:t>
      </w:r>
      <w:r>
        <w:rPr>
          <w:rFonts w:hint="eastAsia" w:ascii="仿宋" w:hAnsi="仿宋" w:eastAsia="仿宋" w:cs="仿宋"/>
          <w:color w:val="000000" w:themeColor="text1"/>
          <w:sz w:val="28"/>
          <w:szCs w:val="28"/>
          <w:lang w:val="en-US" w:eastAsia="zh-CN"/>
          <w14:textFill>
            <w14:solidFill>
              <w14:schemeClr w14:val="tx1"/>
            </w14:solidFill>
          </w14:textFill>
        </w:rPr>
        <w:t>根据院系人数测算，</w:t>
      </w:r>
      <w:r>
        <w:rPr>
          <w:rFonts w:hint="eastAsia" w:ascii="仿宋_GB2312" w:hAnsi="仿宋_GB2312" w:eastAsia="仿宋_GB2312" w:cs="仿宋_GB2312"/>
          <w:spacing w:val="0"/>
          <w:kern w:val="2"/>
          <w:sz w:val="28"/>
          <w:szCs w:val="28"/>
          <w:highlight w:val="none"/>
          <w:lang w:val="en-US" w:eastAsia="zh-CN" w:bidi="ar-SA"/>
        </w:rPr>
        <w:t>艺术科技与管理学院学院名额为3名。</w:t>
      </w:r>
    </w:p>
    <w:p w14:paraId="437ECF4B">
      <w:pPr>
        <w:keepNext w:val="0"/>
        <w:keepLines w:val="0"/>
        <w:pageBreakBefore w:val="0"/>
        <w:widowControl/>
        <w:kinsoku/>
        <w:wordWrap/>
        <w:overflowPunct/>
        <w:topLinePunct w:val="0"/>
        <w:autoSpaceDE/>
        <w:autoSpaceDN/>
        <w:bidi w:val="0"/>
        <w:adjustRightInd/>
        <w:snapToGrid/>
        <w:spacing w:line="360" w:lineRule="auto"/>
        <w:ind w:left="0" w:leftChars="0" w:firstLine="562"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五</w:t>
      </w:r>
      <w:r>
        <w:rPr>
          <w:rFonts w:hint="eastAsia" w:ascii="仿宋_GB2312" w:hAnsi="仿宋_GB2312" w:eastAsia="仿宋_GB2312" w:cs="仿宋_GB2312"/>
          <w:b/>
          <w:bCs/>
          <w:color w:val="000000" w:themeColor="text1"/>
          <w:sz w:val="28"/>
          <w:szCs w:val="28"/>
          <w14:textFill>
            <w14:solidFill>
              <w14:schemeClr w14:val="tx1"/>
            </w14:solidFill>
          </w14:textFill>
        </w:rPr>
        <w:t>、评审组织</w:t>
      </w:r>
    </w:p>
    <w:p w14:paraId="72E33EFE">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1.学校成立研究生国家奖学金评审领导小组，统筹领导、管理本校研究生奖学金评审工作</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p>
    <w:p w14:paraId="4402F5D4">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textAlignment w:val="auto"/>
        <w:rPr>
          <w:rStyle w:val="8"/>
          <w:rFonts w:hint="eastAsia" w:ascii="仿宋_GB2312" w:hAnsi="仿宋_GB2312" w:eastAsia="仿宋_GB2312" w:cs="仿宋_GB2312"/>
          <w:b w:val="0"/>
          <w:bCs w:val="0"/>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2.各院系成立研究生国家奖学金评审委员会，负责院系层面研究生国家奖学金的申请组织、初步评审等工作。</w:t>
      </w:r>
    </w:p>
    <w:p w14:paraId="2DCD169B">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562" w:firstLineChars="200"/>
        <w:textAlignment w:val="auto"/>
        <w:rPr>
          <w:rStyle w:val="8"/>
          <w:rFonts w:hint="eastAsia" w:ascii="仿宋_GB2312" w:hAnsi="仿宋_GB2312" w:eastAsia="仿宋_GB2312" w:cs="仿宋_GB2312"/>
          <w:color w:val="000000" w:themeColor="text1"/>
          <w:sz w:val="28"/>
          <w:szCs w:val="28"/>
          <w14:textFill>
            <w14:solidFill>
              <w14:schemeClr w14:val="tx1"/>
            </w14:solidFill>
          </w14:textFill>
        </w:rPr>
      </w:pPr>
      <w:r>
        <w:rPr>
          <w:rStyle w:val="8"/>
          <w:rFonts w:hint="eastAsia" w:ascii="仿宋_GB2312" w:hAnsi="仿宋_GB2312" w:eastAsia="仿宋_GB2312" w:cs="仿宋_GB2312"/>
          <w:color w:val="000000" w:themeColor="text1"/>
          <w:sz w:val="28"/>
          <w:szCs w:val="28"/>
          <w:lang w:val="en-US" w:eastAsia="zh-CN"/>
          <w14:textFill>
            <w14:solidFill>
              <w14:schemeClr w14:val="tx1"/>
            </w14:solidFill>
          </w14:textFill>
        </w:rPr>
        <w:t>六</w:t>
      </w:r>
      <w:r>
        <w:rPr>
          <w:rStyle w:val="8"/>
          <w:rFonts w:hint="eastAsia" w:ascii="仿宋_GB2312" w:hAnsi="仿宋_GB2312" w:eastAsia="仿宋_GB2312" w:cs="仿宋_GB2312"/>
          <w:color w:val="000000" w:themeColor="text1"/>
          <w:sz w:val="28"/>
          <w:szCs w:val="28"/>
          <w14:textFill>
            <w14:solidFill>
              <w14:schemeClr w14:val="tx1"/>
            </w14:solidFill>
          </w14:textFill>
        </w:rPr>
        <w:t>、评审程序</w:t>
      </w:r>
    </w:p>
    <w:p w14:paraId="5F012F1F">
      <w:pPr>
        <w:keepNext w:val="0"/>
        <w:keepLines w:val="0"/>
        <w:pageBreakBefore w:val="0"/>
        <w:widowControl/>
        <w:kinsoku/>
        <w:wordWrap/>
        <w:overflowPunct/>
        <w:topLinePunct w:val="0"/>
        <w:autoSpaceDE/>
        <w:autoSpaceDN/>
        <w:bidi w:val="0"/>
        <w:adjustRightInd/>
        <w:snapToGrid/>
        <w:spacing w:line="360" w:lineRule="auto"/>
        <w:ind w:left="0" w:leftChars="0" w:firstLine="562" w:firstLineChars="200"/>
        <w:textAlignment w:val="auto"/>
        <w:rPr>
          <w:rStyle w:val="8"/>
          <w:rFonts w:hint="eastAsia" w:ascii="仿宋_GB2312" w:hAnsi="仿宋_GB2312" w:eastAsia="仿宋_GB2312" w:cs="仿宋_GB2312"/>
          <w:b w:val="0"/>
          <w:bCs w:val="0"/>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1.启动评审</w:t>
      </w:r>
    </w:p>
    <w:p w14:paraId="1A71B6B6">
      <w:pPr>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spacing w:val="0"/>
          <w:kern w:val="0"/>
          <w:sz w:val="28"/>
          <w:szCs w:val="28"/>
          <w:shd w:val="clear" w:fill="FFFFFF"/>
          <w:lang w:val="en-US" w:eastAsia="zh-CN" w:bidi="ar"/>
        </w:rPr>
        <w:t>请于 2026年9月16日（周三）16:00前 完成电子版及纸质版材料提交，逾期原则上不再受理。电子版：发送至邮：</w:t>
      </w:r>
      <w:r>
        <w:rPr>
          <w:rFonts w:hint="eastAsia" w:ascii="仿宋_GB2312" w:hAnsi="仿宋_GB2312" w:eastAsia="仿宋_GB2312" w:cs="仿宋_GB2312"/>
          <w:spacing w:val="0"/>
          <w:kern w:val="0"/>
          <w:sz w:val="28"/>
          <w:szCs w:val="28"/>
          <w:shd w:val="clear" w:fill="FFFFFF"/>
          <w:lang w:val="en-US" w:eastAsia="zh-CN" w:bidi="ar"/>
        </w:rPr>
        <w:fldChar w:fldCharType="begin"/>
      </w:r>
      <w:r>
        <w:rPr>
          <w:rFonts w:hint="eastAsia" w:ascii="仿宋_GB2312" w:hAnsi="仿宋_GB2312" w:eastAsia="仿宋_GB2312" w:cs="仿宋_GB2312"/>
          <w:spacing w:val="0"/>
          <w:kern w:val="0"/>
          <w:sz w:val="28"/>
          <w:szCs w:val="28"/>
          <w:shd w:val="clear" w:fill="FFFFFF"/>
          <w:lang w:val="en-US" w:eastAsia="zh-CN" w:bidi="ar"/>
        </w:rPr>
        <w:instrText xml:space="preserve"> HYPERLINK "mailto:staatam@163.com" </w:instrText>
      </w:r>
      <w:r>
        <w:rPr>
          <w:rFonts w:hint="eastAsia" w:ascii="仿宋_GB2312" w:hAnsi="仿宋_GB2312" w:eastAsia="仿宋_GB2312" w:cs="仿宋_GB2312"/>
          <w:spacing w:val="0"/>
          <w:kern w:val="0"/>
          <w:sz w:val="28"/>
          <w:szCs w:val="28"/>
          <w:shd w:val="clear" w:fill="FFFFFF"/>
          <w:lang w:val="en-US" w:eastAsia="zh-CN" w:bidi="ar"/>
        </w:rPr>
        <w:fldChar w:fldCharType="separate"/>
      </w:r>
      <w:r>
        <w:rPr>
          <w:rFonts w:hint="eastAsia" w:ascii="仿宋_GB2312" w:hAnsi="仿宋_GB2312" w:eastAsia="仿宋_GB2312" w:cs="仿宋_GB2312"/>
          <w:spacing w:val="0"/>
          <w:kern w:val="0"/>
          <w:sz w:val="28"/>
          <w:szCs w:val="28"/>
          <w:shd w:val="clear" w:fill="FFFFFF"/>
          <w:lang w:val="en-US" w:eastAsia="zh-CN" w:bidi="ar"/>
        </w:rPr>
        <w:t>staatam@163.com</w:t>
      </w:r>
      <w:r>
        <w:rPr>
          <w:rFonts w:hint="eastAsia" w:ascii="仿宋_GB2312" w:hAnsi="仿宋_GB2312" w:eastAsia="仿宋_GB2312" w:cs="仿宋_GB2312"/>
          <w:spacing w:val="0"/>
          <w:kern w:val="0"/>
          <w:sz w:val="28"/>
          <w:szCs w:val="28"/>
          <w:shd w:val="clear" w:fill="FFFFFF"/>
          <w:lang w:val="en-US" w:eastAsia="zh-CN" w:bidi="ar"/>
        </w:rPr>
        <w:fldChar w:fldCharType="end"/>
      </w:r>
      <w:r>
        <w:rPr>
          <w:rFonts w:hint="eastAsia" w:ascii="仿宋_GB2312" w:hAnsi="仿宋_GB2312" w:eastAsia="仿宋_GB2312" w:cs="仿宋_GB2312"/>
          <w:spacing w:val="0"/>
          <w:kern w:val="0"/>
          <w:sz w:val="28"/>
          <w:szCs w:val="28"/>
          <w:shd w:val="clear" w:fill="FFFFFF"/>
          <w:lang w:val="en-US" w:eastAsia="zh-CN" w:bidi="ar"/>
        </w:rPr>
        <w:t xml:space="preserve">  按原文件格式提交即可。邮件主题统一命名为：“2026硕士国家奖学金申报+姓名”。纸质版需同步</w:t>
      </w: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提交至 1号楼北楼210办公室。纸质材料中涉及本人签字的部分须完成签字，不能是用电子签。提交材料清单见后文。</w:t>
      </w:r>
    </w:p>
    <w:p w14:paraId="16EE6BAD">
      <w:pPr>
        <w:keepNext w:val="0"/>
        <w:keepLines w:val="0"/>
        <w:pageBreakBefore w:val="0"/>
        <w:widowControl/>
        <w:kinsoku/>
        <w:wordWrap/>
        <w:overflowPunct/>
        <w:topLinePunct w:val="0"/>
        <w:autoSpaceDE/>
        <w:autoSpaceDN/>
        <w:bidi w:val="0"/>
        <w:adjustRightInd/>
        <w:snapToGrid/>
        <w:spacing w:line="360" w:lineRule="auto"/>
        <w:ind w:left="0" w:leftChars="0" w:firstLine="562"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2.评审流程</w:t>
      </w:r>
    </w:p>
    <w:p w14:paraId="0BE30703">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（1）院系发布申报通知，硕士研究生根据申请条件和申报通知，向所属院系提交《研究生国家奖学金申请审批表》和佐证材料等申请材料（纸质版及原件扫描PDF格式文档）。</w:t>
      </w:r>
    </w:p>
    <w:p w14:paraId="1F90A25C">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（2）申报学生的事迹材料面向所属院系学生公布，院系对申请国家奖学金学生的基本条件进行初步审核。</w:t>
      </w:r>
    </w:p>
    <w:p w14:paraId="3CBCFCD4">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w:t>
      </w:r>
      <w:bookmarkStart w:id="0" w:name="OLE_LINK228"/>
      <w:bookmarkStart w:id="1" w:name="OLE_LINK229"/>
      <w:r>
        <w:rPr>
          <w:rFonts w:hint="eastAsia" w:ascii="仿宋_GB2312" w:hAnsi="仿宋_GB2312" w:eastAsia="仿宋_GB2312" w:cs="仿宋_GB2312"/>
          <w:color w:val="000000" w:themeColor="text1"/>
          <w:sz w:val="28"/>
          <w:szCs w:val="28"/>
          <w14:textFill>
            <w14:solidFill>
              <w14:schemeClr w14:val="tx1"/>
            </w14:solidFill>
          </w14:textFill>
        </w:rPr>
        <w:t>院系评审委员会按照本院系实施细则，根据申请人综合表现，评议确定获奖候选人名单。在本单位进行</w:t>
      </w:r>
      <w:r>
        <w:rPr>
          <w:rFonts w:hint="eastAsia" w:ascii="仿宋_GB2312" w:hAnsi="仿宋_GB2312" w:eastAsia="仿宋_GB2312" w:cs="仿宋_GB2312"/>
          <w:b/>
          <w:bCs/>
          <w:color w:val="000000" w:themeColor="text1"/>
          <w:sz w:val="28"/>
          <w:szCs w:val="28"/>
          <w14:textFill>
            <w14:solidFill>
              <w14:schemeClr w14:val="tx1"/>
            </w14:solidFill>
          </w14:textFill>
        </w:rPr>
        <w:t>不少于5个工作日</w:t>
      </w:r>
      <w:r>
        <w:rPr>
          <w:rFonts w:hint="eastAsia" w:ascii="仿宋_GB2312" w:hAnsi="仿宋_GB2312" w:eastAsia="仿宋_GB2312" w:cs="仿宋_GB2312"/>
          <w:color w:val="000000" w:themeColor="text1"/>
          <w:sz w:val="28"/>
          <w:szCs w:val="28"/>
          <w14:textFill>
            <w14:solidFill>
              <w14:schemeClr w14:val="tx1"/>
            </w14:solidFill>
          </w14:textFill>
        </w:rPr>
        <w:t>的公示后，将相关评审材料报送学工部。</w:t>
      </w:r>
    </w:p>
    <w:bookmarkEnd w:id="0"/>
    <w:bookmarkEnd w:id="1"/>
    <w:p w14:paraId="50A2816B">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562"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Style w:val="8"/>
          <w:rFonts w:hint="eastAsia" w:ascii="仿宋_GB2312" w:hAnsi="仿宋_GB2312" w:eastAsia="仿宋_GB2312" w:cs="仿宋_GB2312"/>
          <w:color w:val="000000" w:themeColor="text1"/>
          <w:sz w:val="28"/>
          <w:szCs w:val="28"/>
          <w:lang w:val="en-US" w:eastAsia="zh-CN"/>
          <w14:textFill>
            <w14:solidFill>
              <w14:schemeClr w14:val="tx1"/>
            </w14:solidFill>
          </w14:textFill>
        </w:rPr>
        <w:t>七</w:t>
      </w:r>
      <w:r>
        <w:rPr>
          <w:rStyle w:val="8"/>
          <w:rFonts w:hint="eastAsia" w:ascii="仿宋_GB2312" w:hAnsi="仿宋_GB2312" w:eastAsia="仿宋_GB2312" w:cs="仿宋_GB2312"/>
          <w:color w:val="000000" w:themeColor="text1"/>
          <w:sz w:val="28"/>
          <w:szCs w:val="28"/>
          <w14:textFill>
            <w14:solidFill>
              <w14:schemeClr w14:val="tx1"/>
            </w14:solidFill>
          </w14:textFill>
        </w:rPr>
        <w:t>、相关材料</w:t>
      </w:r>
    </w:p>
    <w:p w14:paraId="054BC376">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必须由研究生本人下载并填写《研究生国家奖学金申请审批表》，同时提交科研成果清单。科研成果清单中，发表的论文应逐一写清论文题目、发表刊物、发表时间、字数，同时需提交代表作复印件（包括论文封面、目录、正文、封底）。</w:t>
      </w:r>
    </w:p>
    <w:p w14:paraId="46963453">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2.硕士研究生须提交1封同行专家推荐信</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原则上为校外专家</w:t>
      </w:r>
      <w:r>
        <w:rPr>
          <w:rStyle w:val="8"/>
          <w:rFonts w:hint="eastAsia" w:ascii="仿宋_GB2312" w:hAnsi="仿宋_GB2312" w:eastAsia="仿宋_GB2312" w:cs="仿宋_GB2312"/>
          <w:color w:val="000000" w:themeColor="text1"/>
          <w:sz w:val="28"/>
          <w:szCs w:val="28"/>
          <w14:textFill>
            <w14:solidFill>
              <w14:schemeClr w14:val="tx1"/>
            </w14:solidFill>
          </w14:textFill>
        </w:rPr>
        <w:t>（校内专家不能为自己导师</w:t>
      </w:r>
      <w:r>
        <w:rPr>
          <w:rFonts w:hint="eastAsia" w:ascii="仿宋_GB2312" w:hAnsi="仿宋_GB2312" w:eastAsia="仿宋_GB2312" w:cs="仿宋_GB2312"/>
          <w:color w:val="000000" w:themeColor="text1"/>
          <w:sz w:val="28"/>
          <w:szCs w:val="28"/>
          <w14:textFill>
            <w14:solidFill>
              <w14:schemeClr w14:val="tx1"/>
            </w14:solidFill>
          </w14:textFill>
        </w:rPr>
        <w:t>）。撰写推荐信的专家对申请者的研究领域要有较深入的了解，应具有正高职称</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且需推荐专家手写签字</w:t>
      </w:r>
      <w:r>
        <w:rPr>
          <w:rFonts w:hint="eastAsia" w:ascii="仿宋_GB2312" w:hAnsi="仿宋_GB2312" w:eastAsia="仿宋_GB2312" w:cs="仿宋_GB2312"/>
          <w:color w:val="000000" w:themeColor="text1"/>
          <w:sz w:val="28"/>
          <w:szCs w:val="28"/>
          <w14:textFill>
            <w14:solidFill>
              <w14:schemeClr w14:val="tx1"/>
            </w14:solidFill>
          </w14:textFill>
        </w:rPr>
        <w:t>。</w:t>
      </w:r>
    </w:p>
    <w:p w14:paraId="0B621F4F">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highlight w:val="yellow"/>
          <w14:textFill>
            <w14:solidFill>
              <w14:schemeClr w14:val="tx1"/>
            </w14:solidFill>
          </w14:textFill>
        </w:rPr>
      </w:pPr>
      <w:r>
        <w:rPr>
          <w:rFonts w:hint="eastAsia" w:ascii="仿宋_GB2312" w:hAnsi="仿宋_GB2312" w:eastAsia="仿宋_GB2312" w:cs="仿宋_GB2312"/>
          <w:color w:val="000000" w:themeColor="text1"/>
          <w:sz w:val="28"/>
          <w:szCs w:val="28"/>
          <w:highlight w:val="yellow"/>
          <w14:textFill>
            <w14:solidFill>
              <w14:schemeClr w14:val="tx1"/>
            </w14:solidFill>
          </w14:textFill>
        </w:rPr>
        <w:t>3.硕士研究生在规定学习年限培养期间</w:t>
      </w:r>
      <w:r>
        <w:rPr>
          <w:rFonts w:hint="eastAsia" w:ascii="仿宋_GB2312" w:hAnsi="仿宋_GB2312" w:eastAsia="仿宋_GB2312" w:cs="仿宋_GB2312"/>
          <w:b/>
          <w:bCs/>
          <w:color w:val="000000" w:themeColor="text1"/>
          <w:sz w:val="28"/>
          <w:szCs w:val="28"/>
          <w:highlight w:val="yellow"/>
          <w14:textFill>
            <w14:solidFill>
              <w14:schemeClr w14:val="tx1"/>
            </w14:solidFill>
          </w14:textFill>
        </w:rPr>
        <w:t>（202</w:t>
      </w:r>
      <w:r>
        <w:rPr>
          <w:rFonts w:hint="eastAsia" w:ascii="仿宋_GB2312" w:hAnsi="仿宋_GB2312" w:eastAsia="仿宋_GB2312" w:cs="仿宋_GB2312"/>
          <w:b/>
          <w:bCs/>
          <w:color w:val="000000" w:themeColor="text1"/>
          <w:sz w:val="28"/>
          <w:szCs w:val="28"/>
          <w:highlight w:val="yellow"/>
          <w:lang w:val="en-US" w:eastAsia="zh-CN"/>
          <w14:textFill>
            <w14:solidFill>
              <w14:schemeClr w14:val="tx1"/>
            </w14:solidFill>
          </w14:textFill>
        </w:rPr>
        <w:t>5</w:t>
      </w:r>
      <w:r>
        <w:rPr>
          <w:rFonts w:hint="eastAsia" w:ascii="仿宋_GB2312" w:hAnsi="仿宋_GB2312" w:eastAsia="仿宋_GB2312" w:cs="仿宋_GB2312"/>
          <w:b/>
          <w:bCs/>
          <w:color w:val="000000" w:themeColor="text1"/>
          <w:sz w:val="28"/>
          <w:szCs w:val="28"/>
          <w:highlight w:val="yellow"/>
          <w14:textFill>
            <w14:solidFill>
              <w14:schemeClr w14:val="tx1"/>
            </w14:solidFill>
          </w14:textFill>
        </w:rPr>
        <w:t>年</w:t>
      </w:r>
      <w:r>
        <w:rPr>
          <w:rFonts w:hint="eastAsia" w:ascii="仿宋_GB2312" w:hAnsi="仿宋_GB2312" w:eastAsia="仿宋_GB2312" w:cs="仿宋_GB2312"/>
          <w:b/>
          <w:bCs/>
          <w:color w:val="000000" w:themeColor="text1"/>
          <w:sz w:val="28"/>
          <w:szCs w:val="28"/>
          <w:highlight w:val="yellow"/>
          <w:lang w:val="en-US" w:eastAsia="zh-CN"/>
          <w14:textFill>
            <w14:solidFill>
              <w14:schemeClr w14:val="tx1"/>
            </w14:solidFill>
          </w14:textFill>
        </w:rPr>
        <w:t>9</w:t>
      </w:r>
      <w:r>
        <w:rPr>
          <w:rFonts w:hint="eastAsia" w:ascii="仿宋_GB2312" w:hAnsi="仿宋_GB2312" w:eastAsia="仿宋_GB2312" w:cs="仿宋_GB2312"/>
          <w:b/>
          <w:bCs/>
          <w:color w:val="000000" w:themeColor="text1"/>
          <w:sz w:val="28"/>
          <w:szCs w:val="28"/>
          <w:highlight w:val="yellow"/>
          <w14:textFill>
            <w14:solidFill>
              <w14:schemeClr w14:val="tx1"/>
            </w14:solidFill>
          </w14:textFill>
        </w:rPr>
        <w:t>月-20</w:t>
      </w:r>
      <w:r>
        <w:rPr>
          <w:rFonts w:hint="eastAsia" w:ascii="仿宋_GB2312" w:hAnsi="仿宋_GB2312" w:eastAsia="仿宋_GB2312" w:cs="仿宋_GB2312"/>
          <w:b/>
          <w:bCs/>
          <w:color w:val="000000" w:themeColor="text1"/>
          <w:sz w:val="28"/>
          <w:szCs w:val="28"/>
          <w:highlight w:val="yellow"/>
          <w:lang w:val="en-US" w:eastAsia="zh-CN"/>
          <w14:textFill>
            <w14:solidFill>
              <w14:schemeClr w14:val="tx1"/>
            </w14:solidFill>
          </w14:textFill>
        </w:rPr>
        <w:t>26</w:t>
      </w:r>
      <w:r>
        <w:rPr>
          <w:rFonts w:hint="eastAsia" w:ascii="仿宋_GB2312" w:hAnsi="仿宋_GB2312" w:eastAsia="仿宋_GB2312" w:cs="仿宋_GB2312"/>
          <w:b/>
          <w:bCs/>
          <w:color w:val="000000" w:themeColor="text1"/>
          <w:sz w:val="28"/>
          <w:szCs w:val="28"/>
          <w:highlight w:val="yellow"/>
          <w14:textFill>
            <w14:solidFill>
              <w14:schemeClr w14:val="tx1"/>
            </w14:solidFill>
          </w14:textFill>
        </w:rPr>
        <w:t>年</w:t>
      </w:r>
      <w:r>
        <w:rPr>
          <w:rFonts w:hint="eastAsia" w:ascii="仿宋_GB2312" w:hAnsi="仿宋_GB2312" w:eastAsia="仿宋_GB2312" w:cs="仿宋_GB2312"/>
          <w:b/>
          <w:bCs/>
          <w:color w:val="000000" w:themeColor="text1"/>
          <w:sz w:val="28"/>
          <w:szCs w:val="28"/>
          <w:highlight w:val="yellow"/>
          <w:lang w:val="en-US" w:eastAsia="zh-CN"/>
          <w14:textFill>
            <w14:solidFill>
              <w14:schemeClr w14:val="tx1"/>
            </w14:solidFill>
          </w14:textFill>
        </w:rPr>
        <w:t>9月</w:t>
      </w:r>
      <w:r>
        <w:rPr>
          <w:rFonts w:hint="eastAsia" w:ascii="仿宋_GB2312" w:hAnsi="仿宋_GB2312" w:eastAsia="仿宋_GB2312" w:cs="仿宋_GB2312"/>
          <w:b/>
          <w:bCs/>
          <w:color w:val="000000" w:themeColor="text1"/>
          <w:sz w:val="28"/>
          <w:szCs w:val="28"/>
          <w:highlight w:val="yellow"/>
          <w14:textFill>
            <w14:solidFill>
              <w14:schemeClr w14:val="tx1"/>
            </w14:solidFill>
          </w14:textFill>
        </w:rPr>
        <w:t>）</w:t>
      </w:r>
      <w:r>
        <w:rPr>
          <w:rFonts w:hint="eastAsia" w:ascii="仿宋_GB2312" w:hAnsi="仿宋_GB2312" w:eastAsia="仿宋_GB2312" w:cs="仿宋_GB2312"/>
          <w:color w:val="000000" w:themeColor="text1"/>
          <w:sz w:val="28"/>
          <w:szCs w:val="28"/>
          <w:highlight w:val="yellow"/>
          <w14:textFill>
            <w14:solidFill>
              <w14:schemeClr w14:val="tx1"/>
            </w14:solidFill>
          </w14:textFill>
        </w:rPr>
        <w:t>的科研成果均可参评，作者署名单位必须是上海戏剧学院。已获得过研究生国家奖学金的学生再次申请时，应提交其上次获奖后取得的新成果。</w:t>
      </w:r>
    </w:p>
    <w:p w14:paraId="251A89FB">
      <w:pPr>
        <w:keepNext w:val="0"/>
        <w:keepLines w:val="0"/>
        <w:pageBreakBefore w:val="0"/>
        <w:widowControl/>
        <w:shd w:val="clear" w:color="auto" w:fill="FFFFFF"/>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4</w:t>
      </w:r>
      <w:r>
        <w:rPr>
          <w:rFonts w:hint="eastAsia" w:ascii="仿宋_GB2312" w:hAnsi="仿宋_GB2312" w:eastAsia="仿宋_GB2312" w:cs="仿宋_GB2312"/>
          <w:color w:val="000000" w:themeColor="text1"/>
          <w:sz w:val="28"/>
          <w:szCs w:val="28"/>
          <w14:textFill>
            <w14:solidFill>
              <w14:schemeClr w14:val="tx1"/>
            </w14:solidFill>
          </w14:textFill>
        </w:rPr>
        <w:t>.纸质版提交材料：</w:t>
      </w:r>
      <w:r>
        <w:rPr>
          <w:rFonts w:hint="eastAsia" w:ascii="仿宋_GB2312" w:hAnsi="仿宋_GB2312" w:eastAsia="仿宋_GB2312" w:cs="仿宋_GB2312"/>
          <w:color w:val="000000" w:themeColor="text1"/>
          <w:sz w:val="28"/>
          <w:szCs w:val="28"/>
          <w:highlight w:val="yellow"/>
          <w14:textFill>
            <w14:solidFill>
              <w14:schemeClr w14:val="tx1"/>
            </w14:solidFill>
          </w14:textFill>
        </w:rPr>
        <w:t>（1）附件1</w:t>
      </w:r>
      <w:r>
        <w:rPr>
          <w:rFonts w:hint="eastAsia" w:ascii="仿宋_GB2312" w:hAnsi="仿宋_GB2312" w:eastAsia="仿宋_GB2312" w:cs="仿宋_GB2312"/>
          <w:color w:val="000000" w:themeColor="text1"/>
          <w:sz w:val="28"/>
          <w:szCs w:val="28"/>
          <w:highlight w:val="yellow"/>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yellow"/>
          <w14:textFill>
            <w14:solidFill>
              <w14:schemeClr w14:val="tx1"/>
            </w14:solidFill>
          </w14:textFill>
        </w:rPr>
        <w:t>上海戏剧学院研究生科研申报表</w:t>
      </w:r>
      <w:r>
        <w:rPr>
          <w:rFonts w:hint="eastAsia" w:ascii="仿宋_GB2312" w:hAnsi="仿宋_GB2312" w:eastAsia="仿宋_GB2312" w:cs="仿宋_GB2312"/>
          <w:color w:val="000000" w:themeColor="text1"/>
          <w:sz w:val="28"/>
          <w:szCs w:val="28"/>
          <w:highlight w:val="yellow"/>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yellow"/>
          <w:lang w:val="en-US" w:eastAsia="zh-CN"/>
          <w14:textFill>
            <w14:solidFill>
              <w14:schemeClr w14:val="tx1"/>
            </w14:solidFill>
          </w14:textFill>
        </w:rPr>
        <w:t>及科研成果复印件</w:t>
      </w:r>
      <w:r>
        <w:rPr>
          <w:rFonts w:hint="eastAsia" w:ascii="仿宋_GB2312" w:hAnsi="仿宋_GB2312" w:eastAsia="仿宋_GB2312" w:cs="仿宋_GB2312"/>
          <w:color w:val="000000" w:themeColor="text1"/>
          <w:sz w:val="28"/>
          <w:szCs w:val="28"/>
          <w:highlight w:val="yellow"/>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yellow"/>
          <w14:textFill>
            <w14:solidFill>
              <w14:schemeClr w14:val="tx1"/>
            </w14:solidFill>
          </w14:textFill>
        </w:rPr>
        <w:t>（2）附件2</w:t>
      </w:r>
      <w:r>
        <w:rPr>
          <w:rFonts w:hint="eastAsia" w:ascii="仿宋_GB2312" w:hAnsi="仿宋_GB2312" w:eastAsia="仿宋_GB2312" w:cs="仿宋_GB2312"/>
          <w:color w:val="000000" w:themeColor="text1"/>
          <w:sz w:val="28"/>
          <w:szCs w:val="28"/>
          <w:highlight w:val="yellow"/>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yellow"/>
          <w14:textFill>
            <w14:solidFill>
              <w14:schemeClr w14:val="tx1"/>
            </w14:solidFill>
          </w14:textFill>
        </w:rPr>
        <w:t>研究生国家奖学金申请审批表</w:t>
      </w:r>
      <w:r>
        <w:rPr>
          <w:rFonts w:hint="eastAsia" w:ascii="仿宋_GB2312" w:hAnsi="仿宋_GB2312" w:eastAsia="仿宋_GB2312" w:cs="仿宋_GB2312"/>
          <w:color w:val="000000" w:themeColor="text1"/>
          <w:sz w:val="28"/>
          <w:szCs w:val="28"/>
          <w:highlight w:val="yellow"/>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yellow"/>
          <w14:textFill>
            <w14:solidFill>
              <w14:schemeClr w14:val="tx1"/>
            </w14:solidFill>
          </w14:textFill>
        </w:rPr>
        <w:t>（3）附件3</w:t>
      </w:r>
      <w:r>
        <w:rPr>
          <w:rFonts w:hint="eastAsia" w:ascii="仿宋_GB2312" w:hAnsi="仿宋_GB2312" w:eastAsia="仿宋_GB2312" w:cs="仿宋_GB2312"/>
          <w:color w:val="000000" w:themeColor="text1"/>
          <w:sz w:val="28"/>
          <w:szCs w:val="28"/>
          <w:highlight w:val="yellow"/>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yellow"/>
          <w14:textFill>
            <w14:solidFill>
              <w14:schemeClr w14:val="tx1"/>
            </w14:solidFill>
          </w14:textFill>
        </w:rPr>
        <w:t>高校研究生国家奖学金专家推荐信表格</w:t>
      </w:r>
      <w:r>
        <w:rPr>
          <w:rFonts w:hint="eastAsia" w:ascii="仿宋_GB2312" w:hAnsi="仿宋_GB2312" w:eastAsia="仿宋_GB2312" w:cs="仿宋_GB2312"/>
          <w:color w:val="000000" w:themeColor="text1"/>
          <w:sz w:val="28"/>
          <w:szCs w:val="28"/>
          <w:highlight w:val="yellow"/>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yellow"/>
          <w14:textFill>
            <w14:solidFill>
              <w14:schemeClr w14:val="tx1"/>
            </w14:solidFill>
          </w14:textFill>
        </w:rPr>
        <w:t>（</w:t>
      </w:r>
      <w:r>
        <w:rPr>
          <w:rFonts w:hint="eastAsia" w:ascii="仿宋_GB2312" w:hAnsi="仿宋_GB2312" w:eastAsia="仿宋_GB2312" w:cs="仿宋_GB2312"/>
          <w:color w:val="000000" w:themeColor="text1"/>
          <w:sz w:val="28"/>
          <w:szCs w:val="28"/>
          <w:highlight w:val="yellow"/>
          <w:lang w:val="en-US" w:eastAsia="zh-CN"/>
          <w14:textFill>
            <w14:solidFill>
              <w14:schemeClr w14:val="tx1"/>
            </w14:solidFill>
          </w14:textFill>
        </w:rPr>
        <w:t>4</w:t>
      </w:r>
      <w:r>
        <w:rPr>
          <w:rFonts w:hint="eastAsia" w:ascii="仿宋_GB2312" w:hAnsi="仿宋_GB2312" w:eastAsia="仿宋_GB2312" w:cs="仿宋_GB2312"/>
          <w:color w:val="000000" w:themeColor="text1"/>
          <w:sz w:val="28"/>
          <w:szCs w:val="28"/>
          <w:highlight w:val="yellow"/>
          <w14:textFill>
            <w14:solidFill>
              <w14:schemeClr w14:val="tx1"/>
            </w14:solidFill>
          </w14:textFill>
        </w:rPr>
        <w:t>）附件</w:t>
      </w:r>
      <w:r>
        <w:rPr>
          <w:rFonts w:hint="eastAsia" w:ascii="仿宋_GB2312" w:hAnsi="仿宋_GB2312" w:eastAsia="仿宋_GB2312" w:cs="仿宋_GB2312"/>
          <w:color w:val="000000" w:themeColor="text1"/>
          <w:sz w:val="28"/>
          <w:szCs w:val="28"/>
          <w:highlight w:val="yellow"/>
          <w:lang w:val="en-US" w:eastAsia="zh-CN"/>
          <w14:textFill>
            <w14:solidFill>
              <w14:schemeClr w14:val="tx1"/>
            </w14:solidFill>
          </w14:textFill>
        </w:rPr>
        <w:t>4</w:t>
      </w:r>
      <w:r>
        <w:rPr>
          <w:rFonts w:hint="eastAsia" w:ascii="仿宋_GB2312" w:hAnsi="仿宋_GB2312" w:eastAsia="仿宋_GB2312" w:cs="仿宋_GB2312"/>
          <w:color w:val="000000" w:themeColor="text1"/>
          <w:sz w:val="28"/>
          <w:szCs w:val="28"/>
          <w:highlight w:val="yellow"/>
          <w14:textFill>
            <w14:solidFill>
              <w14:schemeClr w14:val="tx1"/>
            </w14:solidFill>
          </w14:textFill>
        </w:rPr>
        <w:t>《硕士研究生国家奖学金汇总表》</w:t>
      </w:r>
      <w:r>
        <w:rPr>
          <w:rFonts w:hint="eastAsia" w:ascii="仿宋_GB2312" w:hAnsi="仿宋_GB2312" w:eastAsia="仿宋_GB2312" w:cs="仿宋_GB2312"/>
          <w:color w:val="000000" w:themeColor="text1"/>
          <w:sz w:val="28"/>
          <w:szCs w:val="28"/>
          <w:highlight w:val="yellow"/>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注：所有发表论文及科研成果须是在读期间获得。</w:t>
      </w:r>
    </w:p>
    <w:p w14:paraId="1F7F8210">
      <w:pPr>
        <w:keepNext w:val="0"/>
        <w:keepLines w:val="0"/>
        <w:pageBreakBefore w:val="0"/>
        <w:widowControl/>
        <w:kinsoku/>
        <w:wordWrap/>
        <w:overflowPunct/>
        <w:topLinePunct w:val="0"/>
        <w:autoSpaceDE/>
        <w:autoSpaceDN/>
        <w:bidi w:val="0"/>
        <w:adjustRightInd/>
        <w:snapToGrid/>
        <w:spacing w:line="360" w:lineRule="auto"/>
        <w:ind w:left="0" w:leftChars="0" w:firstLine="562"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八</w:t>
      </w:r>
      <w:r>
        <w:rPr>
          <w:rFonts w:hint="eastAsia" w:ascii="仿宋_GB2312" w:hAnsi="仿宋_GB2312" w:eastAsia="仿宋_GB2312" w:cs="仿宋_GB2312"/>
          <w:b/>
          <w:bCs/>
          <w:color w:val="000000" w:themeColor="text1"/>
          <w:sz w:val="28"/>
          <w:szCs w:val="28"/>
          <w14:textFill>
            <w14:solidFill>
              <w14:schemeClr w14:val="tx1"/>
            </w14:solidFill>
          </w14:textFill>
        </w:rPr>
        <w:t>、其他注意事项</w:t>
      </w:r>
    </w:p>
    <w:p w14:paraId="79AD5276">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研究生国家奖学金，是国家面向优秀研究生设立的最高荣誉奖项；是全面提升研究生教育培养质量，大力推进研究生培养机制改革的有效手段。鉴于每年的评审时间都非常紧迫，各院系要高度重视，广泛宣传，精心部署，根据</w:t>
      </w:r>
      <w:r>
        <w:rPr>
          <w:rFonts w:hint="eastAsia" w:ascii="仿宋_GB2312" w:hAnsi="仿宋_GB2312" w:eastAsia="仿宋_GB2312" w:cs="仿宋_GB2312"/>
          <w:b/>
          <w:bCs/>
          <w:color w:val="000000" w:themeColor="text1"/>
          <w:sz w:val="28"/>
          <w:szCs w:val="28"/>
          <w14:textFill>
            <w14:solidFill>
              <w14:schemeClr w14:val="tx1"/>
            </w14:solidFill>
          </w14:textFill>
        </w:rPr>
        <w:t>时间节点</w:t>
      </w:r>
      <w:r>
        <w:rPr>
          <w:rFonts w:hint="eastAsia" w:ascii="仿宋_GB2312" w:hAnsi="仿宋_GB2312" w:eastAsia="仿宋_GB2312" w:cs="仿宋_GB2312"/>
          <w:color w:val="000000" w:themeColor="text1"/>
          <w:sz w:val="28"/>
          <w:szCs w:val="28"/>
          <w14:textFill>
            <w14:solidFill>
              <w14:schemeClr w14:val="tx1"/>
            </w14:solidFill>
          </w14:textFill>
        </w:rPr>
        <w:t>，切实做好研究生国家奖学金评审各项工作。</w:t>
      </w:r>
    </w:p>
    <w:p w14:paraId="7ADE305C">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2.各院系要确保参评学生材料的真实性，若发现有学术造假或者学术成果重复利用的行为，取消该生本年度的评奖资格。</w:t>
      </w:r>
    </w:p>
    <w:p w14:paraId="3F8B2198">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 评审结束后，各院系要认真总结本年度研究生国家奖学金评审工作中可予推广的经验和出现的问题，积极提出相关的工作建议。同时，采取各种有效方式，广泛宣传获奖学生成长成才的典型事例，激发广大在校研究生勤奋学习、专心科研、积极向上的热情，扩大研究生国家奖学金的影响力。</w:t>
      </w:r>
    </w:p>
    <w:p w14:paraId="7FA39554">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p>
    <w:p w14:paraId="0CC23448">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p>
    <w:p w14:paraId="70FA036B">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p>
    <w:p w14:paraId="2257448C">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附件</w:t>
      </w:r>
    </w:p>
    <w:p w14:paraId="51F1366D">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附件1：《上海戏剧学院研究生科研申请表》</w:t>
      </w:r>
    </w:p>
    <w:p w14:paraId="6E51C807">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附件2：《研究生国家奖学金申请审批表》</w:t>
      </w:r>
    </w:p>
    <w:p w14:paraId="6CE65979">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附件3：《研究生国家奖学金推荐信表格》</w:t>
      </w:r>
    </w:p>
    <w:p w14:paraId="1041D842">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附件</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4</w:t>
      </w:r>
      <w:r>
        <w:rPr>
          <w:rFonts w:hint="eastAsia" w:ascii="仿宋_GB2312" w:hAnsi="仿宋_GB2312" w:eastAsia="仿宋_GB2312" w:cs="仿宋_GB2312"/>
          <w:color w:val="000000" w:themeColor="text1"/>
          <w:sz w:val="28"/>
          <w:szCs w:val="28"/>
          <w14:textFill>
            <w14:solidFill>
              <w14:schemeClr w14:val="tx1"/>
            </w14:solidFill>
          </w14:textFill>
        </w:rPr>
        <w:t>：</w:t>
      </w:r>
      <w:bookmarkStart w:id="2" w:name="OLE_LINK21"/>
      <w:bookmarkStart w:id="3" w:name="OLE_LINK20"/>
      <w:r>
        <w:rPr>
          <w:rFonts w:hint="eastAsia" w:ascii="仿宋_GB2312" w:hAnsi="仿宋_GB2312" w:eastAsia="仿宋_GB2312" w:cs="仿宋_GB2312"/>
          <w:color w:val="000000" w:themeColor="text1"/>
          <w:sz w:val="28"/>
          <w:szCs w:val="28"/>
          <w14:textFill>
            <w14:solidFill>
              <w14:schemeClr w14:val="tx1"/>
            </w14:solidFill>
          </w14:textFill>
        </w:rPr>
        <w:t>《硕士研究生国家奖学金汇总表》</w:t>
      </w:r>
    </w:p>
    <w:bookmarkEnd w:id="2"/>
    <w:bookmarkEnd w:id="3"/>
    <w:p w14:paraId="49236D0C">
      <w:pPr>
        <w:keepNext w:val="0"/>
        <w:keepLines w:val="0"/>
        <w:pageBreakBefore w:val="0"/>
        <w:widowControl/>
        <w:kinsoku/>
        <w:wordWrap/>
        <w:overflowPunct/>
        <w:topLinePunct w:val="0"/>
        <w:autoSpaceDE/>
        <w:autoSpaceDN/>
        <w:bidi w:val="0"/>
        <w:adjustRightInd/>
        <w:snapToGrid/>
        <w:spacing w:line="360" w:lineRule="auto"/>
        <w:ind w:left="0" w:leftChars="0"/>
        <w:textAlignment w:val="auto"/>
        <w:rPr>
          <w:rFonts w:hint="eastAsia" w:ascii="仿宋_GB2312" w:hAnsi="仿宋_GB2312" w:eastAsia="仿宋_GB2312" w:cs="仿宋_GB2312"/>
          <w:color w:val="FF000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KSOFBFDA8B98">
    <w:panose1 w:val="0201060103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lhOTA2NjE2NDFjOTg3NDZhMjczNGQwOGQ3YTczODgifQ=="/>
  </w:docVars>
  <w:rsids>
    <w:rsidRoot w:val="00F96B98"/>
    <w:rsid w:val="00033F2C"/>
    <w:rsid w:val="0005542D"/>
    <w:rsid w:val="000B7F93"/>
    <w:rsid w:val="0010127F"/>
    <w:rsid w:val="00117D76"/>
    <w:rsid w:val="002859FC"/>
    <w:rsid w:val="002909D5"/>
    <w:rsid w:val="002929EA"/>
    <w:rsid w:val="002E13D6"/>
    <w:rsid w:val="003446D8"/>
    <w:rsid w:val="003B5700"/>
    <w:rsid w:val="004A437E"/>
    <w:rsid w:val="004B23AC"/>
    <w:rsid w:val="004C64C0"/>
    <w:rsid w:val="00500CD9"/>
    <w:rsid w:val="00524BCB"/>
    <w:rsid w:val="00693A32"/>
    <w:rsid w:val="006D22F7"/>
    <w:rsid w:val="006E1507"/>
    <w:rsid w:val="007E1670"/>
    <w:rsid w:val="00837C81"/>
    <w:rsid w:val="00855B85"/>
    <w:rsid w:val="008B0855"/>
    <w:rsid w:val="008B42BD"/>
    <w:rsid w:val="008E6039"/>
    <w:rsid w:val="0092718E"/>
    <w:rsid w:val="0097760E"/>
    <w:rsid w:val="00AD6835"/>
    <w:rsid w:val="00AE10AB"/>
    <w:rsid w:val="00B27502"/>
    <w:rsid w:val="00B955C9"/>
    <w:rsid w:val="00C91AB1"/>
    <w:rsid w:val="00CB273C"/>
    <w:rsid w:val="00CF1B33"/>
    <w:rsid w:val="00D65DC9"/>
    <w:rsid w:val="00DD29B1"/>
    <w:rsid w:val="00DE778D"/>
    <w:rsid w:val="00DF641E"/>
    <w:rsid w:val="00E20807"/>
    <w:rsid w:val="00E50A19"/>
    <w:rsid w:val="00E746A6"/>
    <w:rsid w:val="00E832AF"/>
    <w:rsid w:val="00EE0C4C"/>
    <w:rsid w:val="00EE4A9E"/>
    <w:rsid w:val="00F6401D"/>
    <w:rsid w:val="00F87379"/>
    <w:rsid w:val="00F96B98"/>
    <w:rsid w:val="00FD0F7D"/>
    <w:rsid w:val="00FE48BA"/>
    <w:rsid w:val="02CB3E0E"/>
    <w:rsid w:val="042718E3"/>
    <w:rsid w:val="04563BF2"/>
    <w:rsid w:val="0A485782"/>
    <w:rsid w:val="0AB02221"/>
    <w:rsid w:val="0AF92F11"/>
    <w:rsid w:val="0C0B18CA"/>
    <w:rsid w:val="1C1F2DC0"/>
    <w:rsid w:val="1CA57492"/>
    <w:rsid w:val="26937BFF"/>
    <w:rsid w:val="26B3029E"/>
    <w:rsid w:val="26DB0DAC"/>
    <w:rsid w:val="2A7911AF"/>
    <w:rsid w:val="31335326"/>
    <w:rsid w:val="3E534129"/>
    <w:rsid w:val="41413083"/>
    <w:rsid w:val="48A32B98"/>
    <w:rsid w:val="48BF4E63"/>
    <w:rsid w:val="50C721ED"/>
    <w:rsid w:val="576324EC"/>
    <w:rsid w:val="592D118D"/>
    <w:rsid w:val="5F205DEF"/>
    <w:rsid w:val="62A939BA"/>
    <w:rsid w:val="645335DA"/>
    <w:rsid w:val="69704DFB"/>
    <w:rsid w:val="6D2B6338"/>
    <w:rsid w:val="6E0C76AD"/>
    <w:rsid w:val="6F4F30B4"/>
    <w:rsid w:val="76356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kern w:val="0"/>
      <w:sz w:val="24"/>
      <w:szCs w:val="24"/>
      <w:lang w:val="en-US" w:eastAsia="zh-CN" w:bidi="ar-SA"/>
    </w:rPr>
  </w:style>
  <w:style w:type="paragraph" w:styleId="2">
    <w:name w:val="heading 1"/>
    <w:basedOn w:val="1"/>
    <w:link w:val="9"/>
    <w:qFormat/>
    <w:uiPriority w:val="9"/>
    <w:pPr>
      <w:spacing w:before="100" w:beforeAutospacing="1" w:after="100" w:afterAutospacing="1"/>
      <w:outlineLvl w:val="0"/>
    </w:pPr>
    <w:rPr>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32"/>
      <w:szCs w:val="32"/>
      <w:lang w:val="en-US" w:eastAsia="en-US" w:bidi="ar-SA"/>
    </w:rPr>
  </w:style>
  <w:style w:type="paragraph" w:styleId="4">
    <w:name w:val="Balloon Text"/>
    <w:basedOn w:val="1"/>
    <w:link w:val="10"/>
    <w:semiHidden/>
    <w:unhideWhenUsed/>
    <w:qFormat/>
    <w:uiPriority w:val="99"/>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22"/>
    <w:rPr>
      <w:b/>
      <w:bCs/>
    </w:rPr>
  </w:style>
  <w:style w:type="character" w:customStyle="1" w:styleId="9">
    <w:name w:val="标题 1 字符"/>
    <w:basedOn w:val="7"/>
    <w:link w:val="2"/>
    <w:qFormat/>
    <w:uiPriority w:val="9"/>
    <w:rPr>
      <w:rFonts w:ascii="宋体" w:hAnsi="宋体" w:eastAsia="宋体" w:cs="宋体"/>
      <w:b/>
      <w:bCs/>
      <w:kern w:val="36"/>
      <w:sz w:val="48"/>
      <w:szCs w:val="48"/>
    </w:rPr>
  </w:style>
  <w:style w:type="character" w:customStyle="1" w:styleId="10">
    <w:name w:val="批注框文本 字符"/>
    <w:basedOn w:val="7"/>
    <w:link w:val="4"/>
    <w:semiHidden/>
    <w:qFormat/>
    <w:uiPriority w:val="99"/>
    <w:rPr>
      <w:rFonts w:ascii="宋体" w:hAnsi="宋体" w:eastAsia="宋体" w:cs="宋体"/>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2583</Words>
  <Characters>2692</Characters>
  <Lines>17</Lines>
  <Paragraphs>5</Paragraphs>
  <TotalTime>1</TotalTime>
  <ScaleCrop>false</ScaleCrop>
  <LinksUpToDate>false</LinksUpToDate>
  <CharactersWithSpaces>2703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2022-09-09T16:23:00Z</dcterms:created>
  <dc:creator>Adia</dc:creator>
  <cp:lastModifiedBy>大磊</cp:lastModifiedBy>
  <cp:lastPrinted>2024-09-12T03:33:00Z</cp:lastPrinted>
  <dcterms:modified xsi:type="dcterms:W3CDTF">2026-09-11T05:13:31Z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95BBCBD8A9D64111A48ED2D10271F995_13</vt:lpwstr>
  </property>
  <property fmtid="{D5CDD505-2E9C-101B-9397-08002B2CF9AE}" pid="4" name="KSOTemplateDocerSaveRecord">
    <vt:lpwstr>eyJoZGlkIjoiN2YzNGE3ZDJiYzY1YmM1Y2FlZTQ4NDU0ZWIwOGJhOTQiLCJ1c2VySWQiOiIyNjY0MzYyNTIifQ==</vt:lpwstr>
  </property>
</Properties>
</file>